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9ACC" w14:textId="41F205D2" w:rsidR="000E3885" w:rsidRPr="005A4B57" w:rsidRDefault="00905BA1" w:rsidP="004E69E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Negotiating </w:t>
      </w:r>
      <w:r w:rsidR="00A220F9">
        <w:rPr>
          <w:rFonts w:ascii="Times New Roman" w:hAnsi="Times New Roman" w:cs="Times New Roman"/>
          <w:b/>
          <w:sz w:val="28"/>
          <w:szCs w:val="28"/>
        </w:rPr>
        <w:t>the British Educational Research Association (BERA) Guidelines whilst Researching</w:t>
      </w:r>
      <w:r w:rsidR="001D6F41">
        <w:rPr>
          <w:rFonts w:ascii="Times New Roman" w:hAnsi="Times New Roman" w:cs="Times New Roman"/>
          <w:b/>
          <w:sz w:val="28"/>
          <w:szCs w:val="28"/>
        </w:rPr>
        <w:t xml:space="preserve"> in India</w:t>
      </w:r>
      <w:r w:rsidR="00A220F9">
        <w:rPr>
          <w:rFonts w:ascii="Times New Roman" w:hAnsi="Times New Roman" w:cs="Times New Roman"/>
          <w:b/>
          <w:sz w:val="28"/>
          <w:szCs w:val="28"/>
        </w:rPr>
        <w:t xml:space="preserve">. </w:t>
      </w:r>
    </w:p>
    <w:p w14:paraId="60717CD1" w14:textId="77777777" w:rsidR="00634150" w:rsidRPr="00CA184A" w:rsidRDefault="00634150" w:rsidP="00634150">
      <w:pPr>
        <w:spacing w:line="360" w:lineRule="auto"/>
        <w:jc w:val="both"/>
        <w:rPr>
          <w:rFonts w:ascii="Times New Roman" w:hAnsi="Times New Roman" w:cs="Times New Roman"/>
          <w:sz w:val="24"/>
          <w:szCs w:val="24"/>
        </w:rPr>
      </w:pPr>
    </w:p>
    <w:p w14:paraId="7CCE4FAA" w14:textId="77777777" w:rsidR="000E3885" w:rsidRPr="005A4B57" w:rsidRDefault="000E3885" w:rsidP="005A4B57">
      <w:pPr>
        <w:spacing w:line="360" w:lineRule="auto"/>
        <w:jc w:val="center"/>
        <w:rPr>
          <w:rFonts w:ascii="Times New Roman" w:hAnsi="Times New Roman" w:cs="Times New Roman"/>
          <w:b/>
          <w:sz w:val="24"/>
          <w:szCs w:val="24"/>
        </w:rPr>
      </w:pPr>
      <w:r w:rsidRPr="005A4B57">
        <w:rPr>
          <w:rFonts w:ascii="Times New Roman" w:hAnsi="Times New Roman" w:cs="Times New Roman"/>
          <w:b/>
          <w:sz w:val="24"/>
          <w:szCs w:val="24"/>
        </w:rPr>
        <w:t>Introduction:</w:t>
      </w:r>
    </w:p>
    <w:p w14:paraId="11D322A0" w14:textId="29E56E85" w:rsidR="000E3885" w:rsidRDefault="000E3885" w:rsidP="004E69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seeks to </w:t>
      </w:r>
      <w:r w:rsidR="00F77ABF">
        <w:rPr>
          <w:rFonts w:ascii="Times New Roman" w:hAnsi="Times New Roman" w:cs="Times New Roman"/>
          <w:sz w:val="24"/>
          <w:szCs w:val="24"/>
        </w:rPr>
        <w:t xml:space="preserve">discuss </w:t>
      </w:r>
      <w:r w:rsidR="0034383E" w:rsidRPr="0034383E">
        <w:rPr>
          <w:rFonts w:ascii="Times New Roman" w:hAnsi="Times New Roman" w:cs="Times New Roman"/>
          <w:sz w:val="24"/>
          <w:szCs w:val="24"/>
        </w:rPr>
        <w:t>how the British Educational Research Guidelines (BERA)</w:t>
      </w:r>
      <w:r w:rsidR="0009139C">
        <w:rPr>
          <w:rFonts w:ascii="Times New Roman" w:hAnsi="Times New Roman" w:cs="Times New Roman"/>
          <w:sz w:val="24"/>
          <w:szCs w:val="24"/>
        </w:rPr>
        <w:t xml:space="preserve"> 2011</w:t>
      </w:r>
      <w:r w:rsidR="0034383E" w:rsidRPr="0034383E">
        <w:rPr>
          <w:rFonts w:ascii="Times New Roman" w:hAnsi="Times New Roman" w:cs="Times New Roman"/>
          <w:sz w:val="24"/>
          <w:szCs w:val="24"/>
        </w:rPr>
        <w:t xml:space="preserve"> were interrogated and </w:t>
      </w:r>
      <w:r w:rsidR="0034383E">
        <w:rPr>
          <w:rFonts w:ascii="Times New Roman" w:hAnsi="Times New Roman" w:cs="Times New Roman"/>
          <w:sz w:val="24"/>
          <w:szCs w:val="24"/>
        </w:rPr>
        <w:t xml:space="preserve">actively </w:t>
      </w:r>
      <w:r w:rsidR="0034383E" w:rsidRPr="0034383E">
        <w:rPr>
          <w:rFonts w:ascii="Times New Roman" w:hAnsi="Times New Roman" w:cs="Times New Roman"/>
          <w:sz w:val="24"/>
          <w:szCs w:val="24"/>
        </w:rPr>
        <w:t xml:space="preserve">interpreted to facilitate </w:t>
      </w:r>
      <w:r w:rsidR="00F77ABF">
        <w:rPr>
          <w:rFonts w:ascii="Times New Roman" w:hAnsi="Times New Roman" w:cs="Times New Roman"/>
          <w:sz w:val="24"/>
          <w:szCs w:val="24"/>
        </w:rPr>
        <w:t>how ethical processes were negotiated during a</w:t>
      </w:r>
      <w:r w:rsidR="0034383E">
        <w:rPr>
          <w:rFonts w:ascii="Times New Roman" w:hAnsi="Times New Roman" w:cs="Times New Roman"/>
          <w:sz w:val="24"/>
          <w:szCs w:val="24"/>
        </w:rPr>
        <w:t xml:space="preserve"> </w:t>
      </w:r>
      <w:r w:rsidR="00F77ABF">
        <w:rPr>
          <w:rFonts w:ascii="Times New Roman" w:hAnsi="Times New Roman" w:cs="Times New Roman"/>
          <w:sz w:val="24"/>
          <w:szCs w:val="24"/>
        </w:rPr>
        <w:t>doctoral research study in a case site in urban India</w:t>
      </w:r>
      <w:r w:rsidR="0034383E">
        <w:rPr>
          <w:rFonts w:ascii="Times New Roman" w:hAnsi="Times New Roman" w:cs="Times New Roman"/>
          <w:sz w:val="24"/>
          <w:szCs w:val="24"/>
        </w:rPr>
        <w:t xml:space="preserve">. </w:t>
      </w:r>
      <w:r w:rsidR="00F77ABF">
        <w:rPr>
          <w:rFonts w:ascii="Times New Roman" w:hAnsi="Times New Roman" w:cs="Times New Roman"/>
          <w:sz w:val="24"/>
          <w:szCs w:val="24"/>
        </w:rPr>
        <w:t>T</w:t>
      </w:r>
      <w:r>
        <w:rPr>
          <w:rFonts w:ascii="Times New Roman" w:hAnsi="Times New Roman" w:cs="Times New Roman"/>
          <w:sz w:val="24"/>
          <w:szCs w:val="24"/>
        </w:rPr>
        <w:t>wo ethical dilemmas and their resolutions from the field</w:t>
      </w:r>
      <w:r w:rsidR="00B31BCC">
        <w:rPr>
          <w:rFonts w:ascii="Times New Roman" w:hAnsi="Times New Roman" w:cs="Times New Roman"/>
          <w:sz w:val="24"/>
          <w:szCs w:val="24"/>
        </w:rPr>
        <w:t xml:space="preserve"> </w:t>
      </w:r>
      <w:r w:rsidR="00F77ABF">
        <w:rPr>
          <w:rFonts w:ascii="Times New Roman" w:hAnsi="Times New Roman" w:cs="Times New Roman"/>
          <w:sz w:val="24"/>
          <w:szCs w:val="24"/>
        </w:rPr>
        <w:t xml:space="preserve">are provided to offer the reader an insight into </w:t>
      </w:r>
      <w:r w:rsidR="0034383E">
        <w:rPr>
          <w:rFonts w:ascii="Times New Roman" w:hAnsi="Times New Roman" w:cs="Times New Roman"/>
          <w:sz w:val="24"/>
          <w:szCs w:val="24"/>
        </w:rPr>
        <w:t xml:space="preserve">how </w:t>
      </w:r>
      <w:r w:rsidR="0034383E">
        <w:rPr>
          <w:rFonts w:ascii="Times New Roman" w:hAnsi="Times New Roman" w:cs="Times New Roman"/>
          <w:sz w:val="24"/>
          <w:szCs w:val="24"/>
        </w:rPr>
        <w:t>interpretations of the guidelines</w:t>
      </w:r>
      <w:r w:rsidR="0034383E">
        <w:rPr>
          <w:rFonts w:ascii="Times New Roman" w:hAnsi="Times New Roman" w:cs="Times New Roman"/>
          <w:sz w:val="24"/>
          <w:szCs w:val="24"/>
        </w:rPr>
        <w:t xml:space="preserve"> during a</w:t>
      </w:r>
      <w:r w:rsidR="0034383E">
        <w:rPr>
          <w:rFonts w:ascii="Times New Roman" w:hAnsi="Times New Roman" w:cs="Times New Roman"/>
          <w:sz w:val="24"/>
          <w:szCs w:val="24"/>
        </w:rPr>
        <w:t xml:space="preserve"> </w:t>
      </w:r>
      <w:r w:rsidR="00F77ABF">
        <w:rPr>
          <w:rFonts w:ascii="Times New Roman" w:hAnsi="Times New Roman" w:cs="Times New Roman"/>
          <w:sz w:val="24"/>
          <w:szCs w:val="24"/>
        </w:rPr>
        <w:t xml:space="preserve">negotiated process </w:t>
      </w:r>
      <w:r w:rsidR="0034383E">
        <w:rPr>
          <w:rFonts w:ascii="Times New Roman" w:hAnsi="Times New Roman" w:cs="Times New Roman"/>
          <w:sz w:val="24"/>
          <w:szCs w:val="24"/>
        </w:rPr>
        <w:t xml:space="preserve">helped to solve the dilemmas in a culturally sensitive manner. This </w:t>
      </w:r>
      <w:r w:rsidR="003C424A">
        <w:rPr>
          <w:rFonts w:ascii="Times New Roman" w:hAnsi="Times New Roman" w:cs="Times New Roman"/>
          <w:sz w:val="24"/>
          <w:szCs w:val="24"/>
        </w:rPr>
        <w:t>active interpretation of the BERA guidelines can be utilised in all educational research.</w:t>
      </w:r>
    </w:p>
    <w:p w14:paraId="6BE3FCF5" w14:textId="77777777" w:rsidR="005A4B57" w:rsidRDefault="005A4B57" w:rsidP="004E69EE">
      <w:pPr>
        <w:spacing w:line="360" w:lineRule="auto"/>
        <w:jc w:val="both"/>
        <w:rPr>
          <w:rFonts w:ascii="Times New Roman" w:hAnsi="Times New Roman" w:cs="Times New Roman"/>
          <w:sz w:val="24"/>
          <w:szCs w:val="24"/>
        </w:rPr>
      </w:pPr>
    </w:p>
    <w:p w14:paraId="246C42FC" w14:textId="77777777" w:rsidR="00C705A7" w:rsidRPr="005A4B57" w:rsidRDefault="00C705A7" w:rsidP="004E69EE">
      <w:pPr>
        <w:spacing w:line="360" w:lineRule="auto"/>
        <w:jc w:val="both"/>
        <w:rPr>
          <w:rFonts w:ascii="Times New Roman" w:hAnsi="Times New Roman" w:cs="Times New Roman"/>
          <w:b/>
          <w:sz w:val="24"/>
          <w:szCs w:val="24"/>
        </w:rPr>
      </w:pPr>
      <w:r w:rsidRPr="005A4B57">
        <w:rPr>
          <w:rFonts w:ascii="Times New Roman" w:hAnsi="Times New Roman" w:cs="Times New Roman"/>
          <w:b/>
          <w:sz w:val="24"/>
          <w:szCs w:val="24"/>
        </w:rPr>
        <w:t>The Research Study:</w:t>
      </w:r>
    </w:p>
    <w:p w14:paraId="68527A50" w14:textId="0A397F87" w:rsidR="000E3885" w:rsidRPr="004B1C4D" w:rsidRDefault="000E3885" w:rsidP="004E69EE">
      <w:pPr>
        <w:pStyle w:val="NormalWeb"/>
        <w:spacing w:line="360" w:lineRule="auto"/>
        <w:jc w:val="both"/>
      </w:pPr>
      <w:r w:rsidRPr="004B1C4D">
        <w:t>The ove</w:t>
      </w:r>
      <w:r>
        <w:t>rarching aim of th</w:t>
      </w:r>
      <w:r w:rsidR="006D2E7F">
        <w:t>e</w:t>
      </w:r>
      <w:r>
        <w:t xml:space="preserve"> study</w:t>
      </w:r>
      <w:r w:rsidR="006D2E7F">
        <w:t xml:space="preserve"> </w:t>
      </w:r>
      <w:r w:rsidR="005C2BCB">
        <w:t>is</w:t>
      </w:r>
      <w:r w:rsidR="006D2E7F">
        <w:t xml:space="preserve"> two-fold: </w:t>
      </w:r>
      <w:r w:rsidRPr="004B1C4D">
        <w:t xml:space="preserve">to develop a rich, contextual understanding of children’s play </w:t>
      </w:r>
      <w:r w:rsidR="006E687A">
        <w:t xml:space="preserve">and learning </w:t>
      </w:r>
      <w:r w:rsidRPr="004B1C4D">
        <w:t xml:space="preserve">in an early childhood education setting </w:t>
      </w:r>
      <w:r w:rsidR="006D2E7F">
        <w:t>within a</w:t>
      </w:r>
      <w:r w:rsidRPr="004B1C4D">
        <w:t xml:space="preserve"> marginalised community in urban India</w:t>
      </w:r>
      <w:r w:rsidR="006D2E7F">
        <w:t xml:space="preserve"> and </w:t>
      </w:r>
      <w:r w:rsidRPr="004B1C4D">
        <w:t xml:space="preserve">to </w:t>
      </w:r>
      <w:r w:rsidR="0004045A" w:rsidRPr="004B1C4D">
        <w:t>problematize</w:t>
      </w:r>
      <w:r w:rsidRPr="004B1C4D">
        <w:t xml:space="preserve"> the application of dominant minority world discourses to the lives of young children</w:t>
      </w:r>
      <w:r>
        <w:t xml:space="preserve"> living</w:t>
      </w:r>
      <w:r w:rsidRPr="004B1C4D">
        <w:t xml:space="preserve"> </w:t>
      </w:r>
      <w:r w:rsidR="00FA30B0">
        <w:t xml:space="preserve">in </w:t>
      </w:r>
      <w:r w:rsidRPr="004B1C4D">
        <w:t xml:space="preserve">majority world contexts. </w:t>
      </w:r>
      <w:r w:rsidR="003C424A">
        <w:t>It seeks to speak to studies of children and childhood in the majority world and critiques of the notions of a ‘normal’ child or childhood (Corsaro, 1997; Montgomery, 2009</w:t>
      </w:r>
      <w:r w:rsidR="00BA1941">
        <w:t xml:space="preserve">, </w:t>
      </w:r>
      <w:r w:rsidR="00BA1941" w:rsidRPr="00BA1941">
        <w:t>Alderson, 2015; Greene, 2013; Kellet, 2005; Woodhead, 199</w:t>
      </w:r>
      <w:r w:rsidR="00EC3D7F">
        <w:t>9</w:t>
      </w:r>
      <w:r w:rsidR="00BA1941" w:rsidRPr="00BA1941">
        <w:t>; Viruru, 2005; Gupta, 20</w:t>
      </w:r>
      <w:r w:rsidR="0009139C">
        <w:t>11</w:t>
      </w:r>
      <w:r w:rsidR="00BA1941" w:rsidRPr="00BA1941">
        <w:t>).</w:t>
      </w:r>
    </w:p>
    <w:p w14:paraId="5F6AED16" w14:textId="77777777" w:rsidR="00882925" w:rsidRPr="005A4B57" w:rsidRDefault="00882925" w:rsidP="00882925">
      <w:pPr>
        <w:pStyle w:val="NormalWeb"/>
        <w:spacing w:line="360" w:lineRule="auto"/>
        <w:jc w:val="both"/>
        <w:rPr>
          <w:b/>
        </w:rPr>
      </w:pPr>
      <w:r w:rsidRPr="005A4B57">
        <w:rPr>
          <w:b/>
        </w:rPr>
        <w:t>Methodology:</w:t>
      </w:r>
    </w:p>
    <w:p w14:paraId="2416535D" w14:textId="2229E2B4" w:rsidR="00882925" w:rsidRDefault="00BA587C" w:rsidP="00882925">
      <w:pPr>
        <w:pStyle w:val="NormalWeb"/>
        <w:spacing w:line="360" w:lineRule="auto"/>
        <w:jc w:val="both"/>
      </w:pPr>
      <w:r>
        <w:t>The</w:t>
      </w:r>
      <w:r w:rsidR="00882925">
        <w:t xml:space="preserve"> case study method was employed due to the</w:t>
      </w:r>
      <w:r w:rsidR="00C36FE2">
        <w:t xml:space="preserve"> researcher’s</w:t>
      </w:r>
      <w:r w:rsidR="00882925">
        <w:t xml:space="preserve"> existing relationship with the school, </w:t>
      </w:r>
      <w:r w:rsidR="00D0643A">
        <w:t xml:space="preserve">which </w:t>
      </w:r>
      <w:r w:rsidR="00882925">
        <w:t>g</w:t>
      </w:r>
      <w:r w:rsidR="00D0643A">
        <w:t xml:space="preserve">ave </w:t>
      </w:r>
      <w:r w:rsidR="00882925">
        <w:t xml:space="preserve">access to an otherwise inaccessible community. It offered the flexibility to redesign the methodology in the field (Yin, 1993) depending on the needs of the community whilst also allowing for the generation of </w:t>
      </w:r>
      <w:r w:rsidR="00882925" w:rsidRPr="004E1818">
        <w:t>fuzzy generalisations</w:t>
      </w:r>
      <w:r w:rsidR="00882925">
        <w:rPr>
          <w:i/>
        </w:rPr>
        <w:t xml:space="preserve"> </w:t>
      </w:r>
      <w:r w:rsidR="00882925">
        <w:t xml:space="preserve">(Bassey,1999). Due to its location within an interpretivist paradigm, this research study does not </w:t>
      </w:r>
      <w:r w:rsidR="00C36FE2">
        <w:t>seek</w:t>
      </w:r>
      <w:r w:rsidR="00882925">
        <w:t xml:space="preserve"> universal truths (Albon and Mukherji, 2010).</w:t>
      </w:r>
    </w:p>
    <w:p w14:paraId="0788DF9F" w14:textId="7A4556BC" w:rsidR="00882925" w:rsidRPr="004B1C4D" w:rsidRDefault="00882925" w:rsidP="00882925">
      <w:pPr>
        <w:pStyle w:val="NormalWeb"/>
        <w:spacing w:line="360" w:lineRule="auto"/>
        <w:jc w:val="both"/>
      </w:pPr>
      <w:r>
        <w:t>Data collection consisted of two research trips per year, over two years, to build</w:t>
      </w:r>
      <w:r w:rsidRPr="004B1C4D">
        <w:t xml:space="preserve"> a living picture (Cl</w:t>
      </w:r>
      <w:r>
        <w:t>ark and Moss, 2011)</w:t>
      </w:r>
      <w:r w:rsidRPr="004B1C4D">
        <w:t xml:space="preserve"> of</w:t>
      </w:r>
      <w:r>
        <w:t xml:space="preserve"> one hundred and twenty </w:t>
      </w:r>
      <w:r w:rsidRPr="004B1C4D">
        <w:t>children’s lives in the school.</w:t>
      </w:r>
      <w:r>
        <w:t xml:space="preserve"> The methods </w:t>
      </w:r>
      <w:r>
        <w:lastRenderedPageBreak/>
        <w:t>employed include the Mosaic Approach (Clark and Moss, 2011), informal interviews, and ethnographic methods.</w:t>
      </w:r>
      <w:r w:rsidRPr="001A469E">
        <w:t xml:space="preserve"> The</w:t>
      </w:r>
      <w:r>
        <w:t xml:space="preserve"> children in the study are aged between three and eight years.</w:t>
      </w:r>
      <w:r w:rsidRPr="004B1C4D">
        <w:t xml:space="preserve"> </w:t>
      </w:r>
    </w:p>
    <w:p w14:paraId="28F77928" w14:textId="7D9C18A8" w:rsidR="00882925" w:rsidRDefault="00882925" w:rsidP="00882925">
      <w:pPr>
        <w:spacing w:line="360" w:lineRule="auto"/>
        <w:jc w:val="both"/>
        <w:rPr>
          <w:rFonts w:ascii="Times New Roman" w:hAnsi="Times New Roman" w:cs="Times New Roman"/>
          <w:sz w:val="24"/>
          <w:szCs w:val="24"/>
        </w:rPr>
      </w:pPr>
      <w:r w:rsidRPr="004B1C4D">
        <w:rPr>
          <w:rFonts w:ascii="Times New Roman" w:hAnsi="Times New Roman" w:cs="Times New Roman"/>
          <w:sz w:val="24"/>
          <w:szCs w:val="24"/>
        </w:rPr>
        <w:t xml:space="preserve">Endeavouring </w:t>
      </w:r>
      <w:r w:rsidR="007C24D8">
        <w:rPr>
          <w:rFonts w:ascii="Times New Roman" w:hAnsi="Times New Roman" w:cs="Times New Roman"/>
          <w:sz w:val="24"/>
          <w:szCs w:val="24"/>
        </w:rPr>
        <w:t xml:space="preserve">to </w:t>
      </w:r>
      <w:r w:rsidR="00C36FE2">
        <w:rPr>
          <w:rFonts w:ascii="Times New Roman" w:hAnsi="Times New Roman" w:cs="Times New Roman"/>
          <w:sz w:val="24"/>
          <w:szCs w:val="24"/>
        </w:rPr>
        <w:t>empower the school management as equal partners (Bevan, et al, 2015)</w:t>
      </w:r>
      <w:r w:rsidR="00250A38">
        <w:rPr>
          <w:rFonts w:ascii="Times New Roman" w:hAnsi="Times New Roman" w:cs="Times New Roman"/>
          <w:sz w:val="24"/>
          <w:szCs w:val="24"/>
        </w:rPr>
        <w:t>,</w:t>
      </w:r>
      <w:r w:rsidR="00C36FE2">
        <w:rPr>
          <w:rFonts w:ascii="Times New Roman" w:hAnsi="Times New Roman" w:cs="Times New Roman"/>
          <w:sz w:val="24"/>
          <w:szCs w:val="24"/>
        </w:rPr>
        <w:t xml:space="preserve"> and </w:t>
      </w:r>
      <w:r w:rsidR="00C36FE2" w:rsidRPr="004B1C4D">
        <w:rPr>
          <w:rFonts w:ascii="Times New Roman" w:hAnsi="Times New Roman" w:cs="Times New Roman"/>
          <w:sz w:val="24"/>
          <w:szCs w:val="24"/>
        </w:rPr>
        <w:t xml:space="preserve">to </w:t>
      </w:r>
      <w:r w:rsidR="00C36FE2">
        <w:rPr>
          <w:rFonts w:ascii="Times New Roman" w:hAnsi="Times New Roman" w:cs="Times New Roman"/>
          <w:sz w:val="24"/>
          <w:szCs w:val="24"/>
        </w:rPr>
        <w:t>respect the school’s relationship with parents and local communities</w:t>
      </w:r>
      <w:r w:rsidR="00C36FE2">
        <w:rPr>
          <w:rFonts w:ascii="Times New Roman" w:hAnsi="Times New Roman" w:cs="Times New Roman"/>
          <w:sz w:val="24"/>
          <w:szCs w:val="24"/>
        </w:rPr>
        <w:t>,</w:t>
      </w:r>
      <w:r w:rsidR="00C36FE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4B1C4D">
        <w:rPr>
          <w:rFonts w:ascii="Times New Roman" w:hAnsi="Times New Roman" w:cs="Times New Roman"/>
          <w:sz w:val="24"/>
          <w:szCs w:val="24"/>
        </w:rPr>
        <w:t>negotiated process was</w:t>
      </w:r>
      <w:r>
        <w:rPr>
          <w:rFonts w:ascii="Times New Roman" w:hAnsi="Times New Roman" w:cs="Times New Roman"/>
          <w:sz w:val="24"/>
          <w:szCs w:val="24"/>
        </w:rPr>
        <w:t xml:space="preserve"> employed</w:t>
      </w:r>
      <w:r w:rsidRPr="004B1C4D">
        <w:rPr>
          <w:rFonts w:ascii="Times New Roman" w:hAnsi="Times New Roman" w:cs="Times New Roman"/>
          <w:sz w:val="24"/>
          <w:szCs w:val="24"/>
        </w:rPr>
        <w:t xml:space="preserve">. </w:t>
      </w:r>
      <w:r w:rsidR="00250A38">
        <w:rPr>
          <w:rFonts w:ascii="Times New Roman" w:hAnsi="Times New Roman" w:cs="Times New Roman"/>
          <w:sz w:val="24"/>
          <w:szCs w:val="24"/>
        </w:rPr>
        <w:t>The negotiated research process</w:t>
      </w:r>
      <w:r w:rsidR="00250A38" w:rsidRPr="002C5025">
        <w:rPr>
          <w:rFonts w:ascii="Times New Roman" w:hAnsi="Times New Roman" w:cs="Times New Roman"/>
          <w:sz w:val="24"/>
          <w:szCs w:val="24"/>
        </w:rPr>
        <w:t xml:space="preserve"> </w:t>
      </w:r>
      <w:r w:rsidR="00250A38">
        <w:rPr>
          <w:rFonts w:ascii="Times New Roman" w:hAnsi="Times New Roman" w:cs="Times New Roman"/>
          <w:sz w:val="24"/>
          <w:szCs w:val="24"/>
        </w:rPr>
        <w:t>(Grout, 2004; Bevan, Gutwill, Petric</w:t>
      </w:r>
      <w:r w:rsidR="00BA587C">
        <w:rPr>
          <w:rFonts w:ascii="Times New Roman" w:hAnsi="Times New Roman" w:cs="Times New Roman"/>
          <w:sz w:val="24"/>
          <w:szCs w:val="24"/>
        </w:rPr>
        <w:t>h,</w:t>
      </w:r>
      <w:r w:rsidR="00250A38">
        <w:rPr>
          <w:rFonts w:ascii="Times New Roman" w:hAnsi="Times New Roman" w:cs="Times New Roman"/>
          <w:sz w:val="24"/>
          <w:szCs w:val="24"/>
        </w:rPr>
        <w:t xml:space="preserve"> and Wilkinson, 2015) was chosen as an appropriate method to undertake in this</w:t>
      </w:r>
      <w:r w:rsidR="00250A38" w:rsidRPr="002C5025">
        <w:rPr>
          <w:rFonts w:ascii="Times New Roman" w:hAnsi="Times New Roman" w:cs="Times New Roman"/>
          <w:sz w:val="24"/>
          <w:szCs w:val="24"/>
        </w:rPr>
        <w:t xml:space="preserve"> research study because of the </w:t>
      </w:r>
      <w:r w:rsidR="00250A38" w:rsidRPr="002C5025">
        <w:rPr>
          <w:rFonts w:ascii="Times New Roman" w:hAnsi="Times New Roman" w:cs="Times New Roman"/>
          <w:bCs/>
          <w:sz w:val="24"/>
          <w:szCs w:val="24"/>
        </w:rPr>
        <w:t xml:space="preserve">dialogical and relational nature </w:t>
      </w:r>
      <w:r w:rsidR="00250A38" w:rsidRPr="002C5025">
        <w:rPr>
          <w:rFonts w:ascii="Times New Roman" w:hAnsi="Times New Roman" w:cs="Times New Roman"/>
          <w:sz w:val="24"/>
          <w:szCs w:val="24"/>
        </w:rPr>
        <w:t>of education as a discipline</w:t>
      </w:r>
      <w:r w:rsidR="00250A38">
        <w:rPr>
          <w:rFonts w:ascii="Times New Roman" w:hAnsi="Times New Roman" w:cs="Times New Roman"/>
          <w:sz w:val="24"/>
          <w:szCs w:val="24"/>
        </w:rPr>
        <w:t xml:space="preserve"> and the empowerment of the participants as equal partners (Bevan, et al, 2015)</w:t>
      </w:r>
      <w:r w:rsidR="00250A38" w:rsidRPr="002C5025">
        <w:rPr>
          <w:rFonts w:ascii="Times New Roman" w:hAnsi="Times New Roman" w:cs="Times New Roman"/>
          <w:sz w:val="24"/>
          <w:szCs w:val="24"/>
        </w:rPr>
        <w:t xml:space="preserve">. </w:t>
      </w:r>
      <w:r>
        <w:rPr>
          <w:rFonts w:ascii="Times New Roman" w:hAnsi="Times New Roman" w:cs="Times New Roman"/>
          <w:sz w:val="24"/>
          <w:szCs w:val="24"/>
        </w:rPr>
        <w:t>Decisions about methodologies and ethical processes</w:t>
      </w:r>
      <w:r w:rsidRPr="002C5025">
        <w:rPr>
          <w:rFonts w:ascii="Times New Roman" w:hAnsi="Times New Roman" w:cs="Times New Roman"/>
          <w:sz w:val="24"/>
          <w:szCs w:val="24"/>
        </w:rPr>
        <w:t xml:space="preserve"> </w:t>
      </w:r>
      <w:r>
        <w:rPr>
          <w:rFonts w:ascii="Times New Roman" w:hAnsi="Times New Roman" w:cs="Times New Roman"/>
          <w:sz w:val="24"/>
          <w:szCs w:val="24"/>
        </w:rPr>
        <w:t>were subject to</w:t>
      </w:r>
      <w:r w:rsidRPr="002C5025">
        <w:rPr>
          <w:rFonts w:ascii="Times New Roman" w:hAnsi="Times New Roman" w:cs="Times New Roman"/>
          <w:sz w:val="24"/>
          <w:szCs w:val="24"/>
        </w:rPr>
        <w:t xml:space="preserve"> negotiat</w:t>
      </w:r>
      <w:r>
        <w:rPr>
          <w:rFonts w:ascii="Times New Roman" w:hAnsi="Times New Roman" w:cs="Times New Roman"/>
          <w:sz w:val="24"/>
          <w:szCs w:val="24"/>
        </w:rPr>
        <w:t>ion</w:t>
      </w:r>
      <w:r w:rsidRPr="002C5025">
        <w:rPr>
          <w:rFonts w:ascii="Times New Roman" w:hAnsi="Times New Roman" w:cs="Times New Roman"/>
          <w:sz w:val="24"/>
          <w:szCs w:val="24"/>
        </w:rPr>
        <w:t xml:space="preserve"> </w:t>
      </w:r>
      <w:r w:rsidR="003C424A">
        <w:rPr>
          <w:rFonts w:ascii="Times New Roman" w:hAnsi="Times New Roman" w:cs="Times New Roman"/>
          <w:bCs/>
          <w:sz w:val="24"/>
          <w:szCs w:val="24"/>
        </w:rPr>
        <w:t>(Yin, 1993)</w:t>
      </w:r>
      <w:r>
        <w:rPr>
          <w:rFonts w:ascii="Times New Roman" w:hAnsi="Times New Roman" w:cs="Times New Roman"/>
          <w:bCs/>
          <w:sz w:val="24"/>
          <w:szCs w:val="24"/>
        </w:rPr>
        <w:t>.</w:t>
      </w:r>
      <w:r>
        <w:rPr>
          <w:rFonts w:ascii="Times New Roman" w:hAnsi="Times New Roman" w:cs="Times New Roman"/>
          <w:sz w:val="24"/>
          <w:szCs w:val="24"/>
        </w:rPr>
        <w:t xml:space="preserve"> </w:t>
      </w:r>
      <w:r w:rsidRPr="002C5025">
        <w:rPr>
          <w:rFonts w:ascii="Times New Roman" w:hAnsi="Times New Roman" w:cs="Times New Roman"/>
          <w:sz w:val="24"/>
          <w:szCs w:val="24"/>
        </w:rPr>
        <w:t>It allow</w:t>
      </w:r>
      <w:r>
        <w:rPr>
          <w:rFonts w:ascii="Times New Roman" w:hAnsi="Times New Roman" w:cs="Times New Roman"/>
          <w:sz w:val="24"/>
          <w:szCs w:val="24"/>
        </w:rPr>
        <w:t>ed</w:t>
      </w:r>
      <w:r w:rsidRPr="002C5025">
        <w:rPr>
          <w:rFonts w:ascii="Times New Roman" w:hAnsi="Times New Roman" w:cs="Times New Roman"/>
          <w:sz w:val="24"/>
          <w:szCs w:val="24"/>
        </w:rPr>
        <w:t xml:space="preserve"> for a </w:t>
      </w:r>
      <w:r w:rsidRPr="002C5025">
        <w:rPr>
          <w:rFonts w:ascii="Times New Roman" w:hAnsi="Times New Roman" w:cs="Times New Roman"/>
          <w:bCs/>
          <w:sz w:val="24"/>
          <w:szCs w:val="24"/>
        </w:rPr>
        <w:t xml:space="preserve">space to dialogue </w:t>
      </w:r>
      <w:r w:rsidRPr="002C5025">
        <w:rPr>
          <w:rFonts w:ascii="Times New Roman" w:hAnsi="Times New Roman" w:cs="Times New Roman"/>
          <w:sz w:val="24"/>
          <w:szCs w:val="24"/>
        </w:rPr>
        <w:t xml:space="preserve">and </w:t>
      </w:r>
      <w:r>
        <w:rPr>
          <w:rFonts w:ascii="Times New Roman" w:hAnsi="Times New Roman" w:cs="Times New Roman"/>
          <w:sz w:val="24"/>
          <w:szCs w:val="24"/>
        </w:rPr>
        <w:t xml:space="preserve">for the researcher </w:t>
      </w:r>
      <w:r w:rsidRPr="002C5025">
        <w:rPr>
          <w:rFonts w:ascii="Times New Roman" w:hAnsi="Times New Roman" w:cs="Times New Roman"/>
          <w:sz w:val="24"/>
          <w:szCs w:val="24"/>
        </w:rPr>
        <w:t>to u</w:t>
      </w:r>
      <w:r>
        <w:rPr>
          <w:rFonts w:ascii="Times New Roman" w:hAnsi="Times New Roman" w:cs="Times New Roman"/>
          <w:sz w:val="24"/>
          <w:szCs w:val="24"/>
        </w:rPr>
        <w:t xml:space="preserve">tilise </w:t>
      </w:r>
      <w:r w:rsidRPr="002C5025">
        <w:rPr>
          <w:rFonts w:ascii="Times New Roman" w:hAnsi="Times New Roman" w:cs="Times New Roman"/>
          <w:bCs/>
          <w:sz w:val="24"/>
          <w:szCs w:val="24"/>
        </w:rPr>
        <w:t>reflective practice</w:t>
      </w:r>
      <w:r w:rsidRPr="002C5025">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2C5025">
        <w:rPr>
          <w:rFonts w:ascii="Times New Roman" w:hAnsi="Times New Roman" w:cs="Times New Roman"/>
          <w:sz w:val="24"/>
          <w:szCs w:val="24"/>
        </w:rPr>
        <w:t xml:space="preserve">make professionally </w:t>
      </w:r>
      <w:r w:rsidRPr="002C5025">
        <w:rPr>
          <w:rFonts w:ascii="Times New Roman" w:hAnsi="Times New Roman" w:cs="Times New Roman"/>
          <w:bCs/>
          <w:sz w:val="24"/>
          <w:szCs w:val="24"/>
        </w:rPr>
        <w:t>considered</w:t>
      </w:r>
      <w:r w:rsidRPr="002C5025">
        <w:rPr>
          <w:rFonts w:ascii="Times New Roman" w:hAnsi="Times New Roman" w:cs="Times New Roman"/>
          <w:sz w:val="24"/>
          <w:szCs w:val="24"/>
        </w:rPr>
        <w:t xml:space="preserve"> and </w:t>
      </w:r>
      <w:r w:rsidRPr="002C5025">
        <w:rPr>
          <w:rFonts w:ascii="Times New Roman" w:hAnsi="Times New Roman" w:cs="Times New Roman"/>
          <w:bCs/>
          <w:sz w:val="24"/>
          <w:szCs w:val="24"/>
        </w:rPr>
        <w:t>responsive</w:t>
      </w:r>
      <w:r w:rsidRPr="002C5025">
        <w:rPr>
          <w:rFonts w:ascii="Times New Roman" w:hAnsi="Times New Roman" w:cs="Times New Roman"/>
          <w:sz w:val="24"/>
          <w:szCs w:val="24"/>
        </w:rPr>
        <w:t xml:space="preserve"> judgements</w:t>
      </w:r>
      <w:r>
        <w:rPr>
          <w:rFonts w:ascii="Times New Roman" w:hAnsi="Times New Roman" w:cs="Times New Roman"/>
          <w:sz w:val="24"/>
          <w:szCs w:val="24"/>
        </w:rPr>
        <w:t xml:space="preserve">. </w:t>
      </w:r>
    </w:p>
    <w:p w14:paraId="5F0BD0B2" w14:textId="774284BE" w:rsidR="00882925" w:rsidRPr="00882925" w:rsidRDefault="00882925" w:rsidP="00882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Case Site:</w:t>
      </w:r>
    </w:p>
    <w:p w14:paraId="3F2B34D1" w14:textId="0754EB37" w:rsidR="005A4B57" w:rsidRDefault="000E3885" w:rsidP="004E69EE">
      <w:pPr>
        <w:pStyle w:val="NormalWeb"/>
        <w:spacing w:line="360" w:lineRule="auto"/>
        <w:jc w:val="both"/>
      </w:pPr>
      <w:r w:rsidRPr="004B1C4D">
        <w:t xml:space="preserve">The </w:t>
      </w:r>
      <w:r w:rsidR="005C2BCB">
        <w:t>case site is a not-for-profit</w:t>
      </w:r>
      <w:r w:rsidR="001A469E">
        <w:t>,</w:t>
      </w:r>
      <w:r w:rsidR="005C2BCB">
        <w:t xml:space="preserve"> </w:t>
      </w:r>
      <w:r w:rsidR="001A469E">
        <w:t xml:space="preserve">English speaking </w:t>
      </w:r>
      <w:r w:rsidRPr="004B1C4D">
        <w:t xml:space="preserve">school </w:t>
      </w:r>
      <w:r w:rsidR="005C2BCB">
        <w:t>in urban</w:t>
      </w:r>
      <w:r w:rsidRPr="004B1C4D">
        <w:t xml:space="preserve"> India</w:t>
      </w:r>
      <w:r w:rsidR="005C2BCB">
        <w:t xml:space="preserve"> managed by a </w:t>
      </w:r>
      <w:r w:rsidR="005C2BCB" w:rsidRPr="004B1C4D">
        <w:t>Non-Government Organisation (NGO)</w:t>
      </w:r>
      <w:r w:rsidR="0016376C">
        <w:t>.</w:t>
      </w:r>
      <w:r w:rsidR="005C2BCB">
        <w:t xml:space="preserve"> </w:t>
      </w:r>
      <w:r w:rsidRPr="004B1C4D">
        <w:t xml:space="preserve">The school </w:t>
      </w:r>
      <w:r>
        <w:t xml:space="preserve">targets what </w:t>
      </w:r>
      <w:r w:rsidR="00B31BCC">
        <w:t>it</w:t>
      </w:r>
      <w:r w:rsidRPr="004B1C4D">
        <w:t xml:space="preserve"> term</w:t>
      </w:r>
      <w:r w:rsidR="00B31BCC">
        <w:t>s</w:t>
      </w:r>
      <w:r w:rsidRPr="004B1C4D">
        <w:t xml:space="preserve"> ‘underprivileged’ children between </w:t>
      </w:r>
      <w:r w:rsidR="005C2BCB">
        <w:t>three and fifteen years of age</w:t>
      </w:r>
      <w:r w:rsidRPr="004B1C4D">
        <w:t>.</w:t>
      </w:r>
      <w:r w:rsidR="00347EC6">
        <w:t xml:space="preserve"> </w:t>
      </w:r>
      <w:r w:rsidR="00891C68">
        <w:t>Most</w:t>
      </w:r>
      <w:r w:rsidR="00347EC6">
        <w:t xml:space="preserve"> </w:t>
      </w:r>
      <w:r w:rsidR="007C24D8">
        <w:t xml:space="preserve">registered </w:t>
      </w:r>
      <w:r w:rsidR="00347EC6">
        <w:t>children are</w:t>
      </w:r>
      <w:r w:rsidR="00347EC6" w:rsidRPr="004B1C4D">
        <w:t xml:space="preserve"> Hindu</w:t>
      </w:r>
      <w:r w:rsidR="00347EC6">
        <w:t xml:space="preserve"> and </w:t>
      </w:r>
      <w:r w:rsidR="00347EC6">
        <w:t>live in</w:t>
      </w:r>
      <w:r w:rsidR="00347EC6" w:rsidRPr="004B1C4D">
        <w:t xml:space="preserve"> </w:t>
      </w:r>
      <w:r w:rsidR="00347EC6">
        <w:t>ten</w:t>
      </w:r>
      <w:r w:rsidR="00347EC6" w:rsidRPr="004B1C4D">
        <w:t xml:space="preserve"> official slum settlements</w:t>
      </w:r>
      <w:r w:rsidR="00347EC6">
        <w:t xml:space="preserve"> surrounding the school</w:t>
      </w:r>
      <w:r w:rsidR="00347EC6">
        <w:t xml:space="preserve">. </w:t>
      </w:r>
      <w:r w:rsidR="00347EC6">
        <w:t xml:space="preserve">The </w:t>
      </w:r>
      <w:r w:rsidRPr="004B1C4D">
        <w:t>dominant caste in the school i</w:t>
      </w:r>
      <w:r w:rsidR="00347EC6">
        <w:t>s</w:t>
      </w:r>
      <w:r w:rsidRPr="004B1C4D">
        <w:t xml:space="preserve"> Dalit</w:t>
      </w:r>
      <w:r w:rsidR="00A96AE6">
        <w:t>. Membership of this lowest caste within the Hindu system bestows marginalised status</w:t>
      </w:r>
      <w:r w:rsidR="007C24D8">
        <w:t xml:space="preserve"> – derogatively</w:t>
      </w:r>
      <w:r w:rsidRPr="004B1C4D">
        <w:t xml:space="preserve"> referred to</w:t>
      </w:r>
      <w:r w:rsidR="001A469E">
        <w:t xml:space="preserve"> within India</w:t>
      </w:r>
      <w:r w:rsidRPr="004B1C4D">
        <w:t xml:space="preserve"> as ‘untouchable’. </w:t>
      </w:r>
      <w:r w:rsidR="007C24D8">
        <w:t>Although their presence permeates life in the local city, by virtue of their caste</w:t>
      </w:r>
      <w:r w:rsidR="00EB0D65">
        <w:t xml:space="preserve">, </w:t>
      </w:r>
      <w:r w:rsidR="00464D73">
        <w:t>D</w:t>
      </w:r>
      <w:r w:rsidR="007C24D8">
        <w:t>alit</w:t>
      </w:r>
      <w:r w:rsidR="00464D73">
        <w:t xml:space="preserve"> members </w:t>
      </w:r>
      <w:r w:rsidR="007C24D8">
        <w:t>are considered to live on the fringes of society</w:t>
      </w:r>
      <w:r w:rsidR="007C24D8">
        <w:t xml:space="preserve"> and thus considered hard to reach. </w:t>
      </w:r>
    </w:p>
    <w:p w14:paraId="77960306" w14:textId="795CEE10" w:rsidR="005A4B57" w:rsidRPr="004B1C4D" w:rsidRDefault="007C24D8" w:rsidP="004E69EE">
      <w:pPr>
        <w:pStyle w:val="NormalWeb"/>
        <w:spacing w:line="360" w:lineRule="auto"/>
        <w:jc w:val="both"/>
      </w:pPr>
      <w:r>
        <w:t>Dalit caste members had no opportunity to access education</w:t>
      </w:r>
      <w:r w:rsidRPr="00347EC6">
        <w:t xml:space="preserve"> </w:t>
      </w:r>
      <w:r>
        <w:t xml:space="preserve">until the 2010 (Right to Education Act, 2009). </w:t>
      </w:r>
      <w:r>
        <w:t xml:space="preserve">Thus, </w:t>
      </w:r>
      <w:r w:rsidR="00891C68">
        <w:t>most</w:t>
      </w:r>
      <w:r w:rsidR="00D32175">
        <w:t xml:space="preserve"> parents </w:t>
      </w:r>
      <w:r w:rsidR="00464D73">
        <w:t xml:space="preserve">in the school </w:t>
      </w:r>
      <w:r w:rsidR="008E2E98">
        <w:t xml:space="preserve">are illiterate and </w:t>
      </w:r>
      <w:r w:rsidR="00410594">
        <w:t>untrusting of</w:t>
      </w:r>
      <w:r>
        <w:t xml:space="preserve"> </w:t>
      </w:r>
      <w:r w:rsidR="00D32175">
        <w:t>the education system</w:t>
      </w:r>
      <w:r w:rsidR="00410594">
        <w:t xml:space="preserve">; </w:t>
      </w:r>
      <w:r w:rsidR="00D32175">
        <w:t xml:space="preserve">many children presenting at the school </w:t>
      </w:r>
      <w:r>
        <w:t>have</w:t>
      </w:r>
      <w:r w:rsidR="00D32175">
        <w:t xml:space="preserve"> no official documentation or knowledge of their birth</w:t>
      </w:r>
      <w:r w:rsidR="00347EC6">
        <w:t xml:space="preserve"> date.</w:t>
      </w:r>
      <w:r w:rsidR="00D32175">
        <w:t xml:space="preserve"> </w:t>
      </w:r>
      <w:r w:rsidR="00410594">
        <w:t>Many have been subject to systemic and physical violence due to their caste making them suspicious of anyone outside their caste, especially those holding positions of privilege or power</w:t>
      </w:r>
      <w:r w:rsidR="00410594">
        <w:rPr>
          <w:rStyle w:val="FootnoteReference"/>
        </w:rPr>
        <w:footnoteReference w:id="1"/>
      </w:r>
      <w:r w:rsidR="00410594">
        <w:t>.</w:t>
      </w:r>
    </w:p>
    <w:p w14:paraId="263756AB" w14:textId="77777777" w:rsidR="00C8696C" w:rsidRPr="002C5025" w:rsidRDefault="00C8696C" w:rsidP="004E69EE">
      <w:pPr>
        <w:spacing w:line="360" w:lineRule="auto"/>
        <w:jc w:val="both"/>
        <w:rPr>
          <w:rFonts w:ascii="Times New Roman" w:hAnsi="Times New Roman" w:cs="Times New Roman"/>
          <w:sz w:val="24"/>
          <w:szCs w:val="24"/>
        </w:rPr>
      </w:pPr>
    </w:p>
    <w:p w14:paraId="2B17D29C" w14:textId="77777777" w:rsidR="00657A90" w:rsidRPr="005A4B57" w:rsidRDefault="00657A90" w:rsidP="00657A90">
      <w:pPr>
        <w:spacing w:line="360" w:lineRule="auto"/>
        <w:jc w:val="both"/>
        <w:rPr>
          <w:rFonts w:ascii="Times New Roman" w:hAnsi="Times New Roman" w:cs="Times New Roman"/>
          <w:b/>
          <w:sz w:val="24"/>
          <w:szCs w:val="24"/>
        </w:rPr>
      </w:pPr>
      <w:r w:rsidRPr="005A4B57">
        <w:rPr>
          <w:rFonts w:ascii="Times New Roman" w:hAnsi="Times New Roman" w:cs="Times New Roman"/>
          <w:b/>
          <w:sz w:val="24"/>
          <w:szCs w:val="24"/>
        </w:rPr>
        <w:t>Ethically Considered and Responsive Research in Education:</w:t>
      </w:r>
    </w:p>
    <w:p w14:paraId="75E004FB" w14:textId="288076DD" w:rsidR="000E3885" w:rsidRDefault="00657A90" w:rsidP="004E69EE">
      <w:pPr>
        <w:spacing w:line="360" w:lineRule="auto"/>
        <w:jc w:val="both"/>
        <w:rPr>
          <w:rFonts w:ascii="Times New Roman" w:hAnsi="Times New Roman" w:cs="Times New Roman"/>
          <w:sz w:val="24"/>
          <w:szCs w:val="24"/>
        </w:rPr>
      </w:pPr>
      <w:r>
        <w:rPr>
          <w:rFonts w:ascii="Times New Roman" w:hAnsi="Times New Roman" w:cs="Times New Roman"/>
          <w:sz w:val="24"/>
          <w:szCs w:val="24"/>
        </w:rPr>
        <w:t>Educator</w:t>
      </w:r>
      <w:r w:rsidR="00782FB4">
        <w:rPr>
          <w:rFonts w:ascii="Times New Roman" w:hAnsi="Times New Roman" w:cs="Times New Roman"/>
          <w:sz w:val="24"/>
          <w:szCs w:val="24"/>
        </w:rPr>
        <w:t>s</w:t>
      </w:r>
      <w:r>
        <w:rPr>
          <w:rFonts w:ascii="Times New Roman" w:hAnsi="Times New Roman" w:cs="Times New Roman"/>
          <w:sz w:val="24"/>
          <w:szCs w:val="24"/>
        </w:rPr>
        <w:t xml:space="preserve"> </w:t>
      </w:r>
      <w:r w:rsidRPr="002C5025">
        <w:rPr>
          <w:rFonts w:ascii="Times New Roman" w:hAnsi="Times New Roman" w:cs="Times New Roman"/>
          <w:sz w:val="24"/>
          <w:szCs w:val="24"/>
        </w:rPr>
        <w:t xml:space="preserve">are used to making </w:t>
      </w:r>
      <w:r w:rsidRPr="002C5025">
        <w:rPr>
          <w:rFonts w:ascii="Times New Roman" w:hAnsi="Times New Roman" w:cs="Times New Roman"/>
          <w:bCs/>
          <w:sz w:val="24"/>
          <w:szCs w:val="24"/>
        </w:rPr>
        <w:t xml:space="preserve">situated judgements </w:t>
      </w:r>
      <w:r w:rsidR="00A203DA">
        <w:rPr>
          <w:rFonts w:ascii="Times New Roman" w:hAnsi="Times New Roman" w:cs="Times New Roman"/>
          <w:bCs/>
          <w:sz w:val="24"/>
          <w:szCs w:val="24"/>
        </w:rPr>
        <w:t xml:space="preserve">or ‘phronesis’ </w:t>
      </w:r>
      <w:r w:rsidRPr="002C5025">
        <w:rPr>
          <w:rFonts w:ascii="Times New Roman" w:hAnsi="Times New Roman" w:cs="Times New Roman"/>
          <w:sz w:val="24"/>
          <w:szCs w:val="24"/>
        </w:rPr>
        <w:t>which occur when there is a conflict between responsibility and accountability (Pitman, 20</w:t>
      </w:r>
      <w:r>
        <w:rPr>
          <w:rFonts w:ascii="Times New Roman" w:hAnsi="Times New Roman" w:cs="Times New Roman"/>
          <w:sz w:val="24"/>
          <w:szCs w:val="24"/>
        </w:rPr>
        <w:t>12</w:t>
      </w:r>
      <w:r w:rsidRPr="002C5025">
        <w:rPr>
          <w:rFonts w:ascii="Times New Roman" w:hAnsi="Times New Roman" w:cs="Times New Roman"/>
          <w:sz w:val="24"/>
          <w:szCs w:val="24"/>
        </w:rPr>
        <w:t>).</w:t>
      </w:r>
      <w:r>
        <w:rPr>
          <w:rFonts w:ascii="Times New Roman" w:hAnsi="Times New Roman" w:cs="Times New Roman"/>
          <w:sz w:val="24"/>
          <w:szCs w:val="24"/>
        </w:rPr>
        <w:t xml:space="preserve"> </w:t>
      </w:r>
      <w:r w:rsidR="00A203DA">
        <w:rPr>
          <w:rFonts w:ascii="Times New Roman" w:hAnsi="Times New Roman" w:cs="Times New Roman"/>
          <w:sz w:val="24"/>
          <w:szCs w:val="24"/>
        </w:rPr>
        <w:t>Phronesis</w:t>
      </w:r>
      <w:r>
        <w:rPr>
          <w:rFonts w:ascii="Times New Roman" w:hAnsi="Times New Roman" w:cs="Times New Roman"/>
          <w:sz w:val="24"/>
          <w:szCs w:val="24"/>
        </w:rPr>
        <w:t xml:space="preserve"> is described by Pitman as </w:t>
      </w:r>
      <w:r w:rsidRPr="002C5025">
        <w:rPr>
          <w:rFonts w:ascii="Times New Roman" w:hAnsi="Times New Roman" w:cs="Times New Roman"/>
          <w:sz w:val="24"/>
          <w:szCs w:val="24"/>
        </w:rPr>
        <w:t>“practical judgement embedded in a moral purpose and the achievement of the good” (2012</w:t>
      </w:r>
      <w:r>
        <w:rPr>
          <w:rFonts w:ascii="Times New Roman" w:hAnsi="Times New Roman" w:cs="Times New Roman"/>
          <w:sz w:val="24"/>
          <w:szCs w:val="24"/>
        </w:rPr>
        <w:t>, p</w:t>
      </w:r>
      <w:r w:rsidRPr="002C5025">
        <w:rPr>
          <w:rFonts w:ascii="Times New Roman" w:hAnsi="Times New Roman" w:cs="Times New Roman"/>
          <w:sz w:val="24"/>
          <w:szCs w:val="24"/>
        </w:rPr>
        <w:t>133).</w:t>
      </w:r>
      <w:r>
        <w:rPr>
          <w:rFonts w:ascii="Times New Roman" w:hAnsi="Times New Roman" w:cs="Times New Roman"/>
          <w:sz w:val="24"/>
          <w:szCs w:val="24"/>
        </w:rPr>
        <w:t xml:space="preserve"> </w:t>
      </w:r>
      <w:r w:rsidR="00A203DA">
        <w:rPr>
          <w:rFonts w:ascii="Times New Roman" w:hAnsi="Times New Roman" w:cs="Times New Roman"/>
          <w:sz w:val="24"/>
          <w:szCs w:val="24"/>
        </w:rPr>
        <w:t>Skanfors also describes a</w:t>
      </w:r>
      <w:r w:rsidRPr="002C5025">
        <w:rPr>
          <w:rFonts w:ascii="Times New Roman" w:hAnsi="Times New Roman" w:cs="Times New Roman"/>
          <w:sz w:val="24"/>
          <w:szCs w:val="24"/>
        </w:rPr>
        <w:t xml:space="preserve"> researcher’s </w:t>
      </w:r>
      <w:r w:rsidRPr="002C5025">
        <w:rPr>
          <w:rFonts w:ascii="Times New Roman" w:hAnsi="Times New Roman" w:cs="Times New Roman"/>
          <w:bCs/>
          <w:sz w:val="24"/>
          <w:szCs w:val="24"/>
        </w:rPr>
        <w:t>‘Ethical Radar</w:t>
      </w:r>
      <w:r w:rsidRPr="002C5025">
        <w:rPr>
          <w:rFonts w:ascii="Times New Roman" w:hAnsi="Times New Roman" w:cs="Times New Roman"/>
          <w:sz w:val="24"/>
          <w:szCs w:val="24"/>
        </w:rPr>
        <w:t>’ (Skanfors, 2009)</w:t>
      </w:r>
      <w:r>
        <w:rPr>
          <w:rFonts w:ascii="Times New Roman" w:hAnsi="Times New Roman" w:cs="Times New Roman"/>
          <w:sz w:val="24"/>
          <w:szCs w:val="24"/>
        </w:rPr>
        <w:t xml:space="preserve"> which employs r</w:t>
      </w:r>
      <w:r w:rsidRPr="002C5025">
        <w:rPr>
          <w:rFonts w:ascii="Times New Roman" w:hAnsi="Times New Roman" w:cs="Times New Roman"/>
          <w:bCs/>
          <w:sz w:val="24"/>
          <w:szCs w:val="24"/>
        </w:rPr>
        <w:t>eflexive</w:t>
      </w:r>
      <w:r w:rsidRPr="002C5025">
        <w:rPr>
          <w:rFonts w:ascii="Times New Roman" w:hAnsi="Times New Roman" w:cs="Times New Roman"/>
          <w:sz w:val="24"/>
          <w:szCs w:val="24"/>
        </w:rPr>
        <w:t xml:space="preserve"> and </w:t>
      </w:r>
      <w:r w:rsidRPr="002C5025">
        <w:rPr>
          <w:rFonts w:ascii="Times New Roman" w:hAnsi="Times New Roman" w:cs="Times New Roman"/>
          <w:bCs/>
          <w:sz w:val="24"/>
          <w:szCs w:val="24"/>
        </w:rPr>
        <w:t>responsive</w:t>
      </w:r>
      <w:r w:rsidRPr="002C5025">
        <w:rPr>
          <w:rFonts w:ascii="Times New Roman" w:hAnsi="Times New Roman" w:cs="Times New Roman"/>
          <w:sz w:val="24"/>
          <w:szCs w:val="24"/>
        </w:rPr>
        <w:t xml:space="preserve"> judgement between what is </w:t>
      </w:r>
      <w:r w:rsidR="00A203DA">
        <w:rPr>
          <w:rFonts w:ascii="Times New Roman" w:hAnsi="Times New Roman" w:cs="Times New Roman"/>
          <w:sz w:val="24"/>
          <w:szCs w:val="24"/>
        </w:rPr>
        <w:t xml:space="preserve">situationally </w:t>
      </w:r>
      <w:r w:rsidRPr="002C5025">
        <w:rPr>
          <w:rFonts w:ascii="Times New Roman" w:hAnsi="Times New Roman" w:cs="Times New Roman"/>
          <w:sz w:val="24"/>
          <w:szCs w:val="24"/>
        </w:rPr>
        <w:t xml:space="preserve">ethical </w:t>
      </w:r>
      <w:r>
        <w:rPr>
          <w:rFonts w:ascii="Times New Roman" w:hAnsi="Times New Roman" w:cs="Times New Roman"/>
          <w:sz w:val="24"/>
          <w:szCs w:val="24"/>
        </w:rPr>
        <w:t>with</w:t>
      </w:r>
      <w:r w:rsidRPr="002C5025">
        <w:rPr>
          <w:rFonts w:ascii="Times New Roman" w:hAnsi="Times New Roman" w:cs="Times New Roman"/>
          <w:sz w:val="24"/>
          <w:szCs w:val="24"/>
        </w:rPr>
        <w:t xml:space="preserve"> what</w:t>
      </w:r>
      <w:r w:rsidR="00782FB4">
        <w:rPr>
          <w:rFonts w:ascii="Times New Roman" w:hAnsi="Times New Roman" w:cs="Times New Roman"/>
          <w:sz w:val="24"/>
          <w:szCs w:val="24"/>
        </w:rPr>
        <w:t xml:space="preserve"> is</w:t>
      </w:r>
      <w:r w:rsidRPr="002C5025">
        <w:rPr>
          <w:rFonts w:ascii="Times New Roman" w:hAnsi="Times New Roman" w:cs="Times New Roman"/>
          <w:sz w:val="24"/>
          <w:szCs w:val="24"/>
        </w:rPr>
        <w:t xml:space="preserve"> </w:t>
      </w:r>
      <w:r w:rsidR="00782FB4">
        <w:rPr>
          <w:rFonts w:ascii="Times New Roman" w:hAnsi="Times New Roman" w:cs="Times New Roman"/>
          <w:sz w:val="24"/>
          <w:szCs w:val="24"/>
        </w:rPr>
        <w:t>officially ethical</w:t>
      </w:r>
      <w:r w:rsidRPr="002C5025">
        <w:rPr>
          <w:rFonts w:ascii="Times New Roman" w:hAnsi="Times New Roman" w:cs="Times New Roman"/>
          <w:sz w:val="24"/>
          <w:szCs w:val="24"/>
        </w:rPr>
        <w:t>.</w:t>
      </w:r>
      <w:r>
        <w:rPr>
          <w:rFonts w:ascii="Times New Roman" w:hAnsi="Times New Roman" w:cs="Times New Roman"/>
          <w:sz w:val="24"/>
          <w:szCs w:val="24"/>
        </w:rPr>
        <w:t xml:space="preserve"> </w:t>
      </w:r>
      <w:r w:rsidR="00782FB4">
        <w:rPr>
          <w:rFonts w:ascii="Times New Roman" w:hAnsi="Times New Roman" w:cs="Times New Roman"/>
          <w:sz w:val="24"/>
          <w:szCs w:val="24"/>
        </w:rPr>
        <w:t xml:space="preserve">It is argued here that an educational researcher could use that ethical radar in the same way as phronesis to interpret the BERA guidelines while in the field. </w:t>
      </w:r>
      <w:r>
        <w:rPr>
          <w:rFonts w:ascii="Times New Roman" w:hAnsi="Times New Roman" w:cs="Times New Roman"/>
          <w:sz w:val="24"/>
          <w:szCs w:val="24"/>
        </w:rPr>
        <w:t>The employment of an ethical radar or phronesis throughout the research process allows for a careful balancing of an ethic of care</w:t>
      </w:r>
      <w:r w:rsidR="00782FB4">
        <w:rPr>
          <w:rFonts w:ascii="Times New Roman" w:hAnsi="Times New Roman" w:cs="Times New Roman"/>
          <w:sz w:val="24"/>
          <w:szCs w:val="24"/>
        </w:rPr>
        <w:t xml:space="preserve"> (Noddings, 2013)</w:t>
      </w:r>
      <w:r>
        <w:rPr>
          <w:rFonts w:ascii="Times New Roman" w:hAnsi="Times New Roman" w:cs="Times New Roman"/>
          <w:sz w:val="24"/>
          <w:szCs w:val="24"/>
        </w:rPr>
        <w:t xml:space="preserve"> with an ethic of justice</w:t>
      </w:r>
      <w:r w:rsidR="00782FB4">
        <w:rPr>
          <w:rFonts w:ascii="Times New Roman" w:hAnsi="Times New Roman" w:cs="Times New Roman"/>
          <w:sz w:val="24"/>
          <w:szCs w:val="24"/>
        </w:rPr>
        <w:t xml:space="preserve"> </w:t>
      </w:r>
      <w:r w:rsidR="00782FB4">
        <w:rPr>
          <w:rFonts w:ascii="Times New Roman" w:hAnsi="Times New Roman" w:cs="Times New Roman"/>
          <w:sz w:val="24"/>
          <w:szCs w:val="24"/>
        </w:rPr>
        <w:t>(Mortari and Harcourt, 2012</w:t>
      </w:r>
      <w:r w:rsidR="00782FB4">
        <w:rPr>
          <w:rFonts w:ascii="Times New Roman" w:hAnsi="Times New Roman" w:cs="Times New Roman"/>
          <w:sz w:val="24"/>
          <w:szCs w:val="24"/>
        </w:rPr>
        <w:t>)</w:t>
      </w:r>
      <w:r>
        <w:rPr>
          <w:rFonts w:ascii="Times New Roman" w:hAnsi="Times New Roman" w:cs="Times New Roman"/>
          <w:sz w:val="24"/>
          <w:szCs w:val="24"/>
        </w:rPr>
        <w:t xml:space="preserve"> which results in considered and responsive judgements. It allows the researcher to interpret guidelines, negotiate with local partners, and apply them critically in a situated manner</w:t>
      </w:r>
      <w:r w:rsidR="00782FB4">
        <w:rPr>
          <w:rFonts w:ascii="Times New Roman" w:hAnsi="Times New Roman" w:cs="Times New Roman"/>
          <w:sz w:val="24"/>
          <w:szCs w:val="24"/>
        </w:rPr>
        <w:t>,</w:t>
      </w:r>
      <w:r w:rsidR="00782FB4" w:rsidRPr="00782FB4">
        <w:rPr>
          <w:rFonts w:ascii="Times New Roman" w:hAnsi="Times New Roman" w:cs="Times New Roman"/>
          <w:sz w:val="24"/>
          <w:szCs w:val="24"/>
        </w:rPr>
        <w:t xml:space="preserve"> </w:t>
      </w:r>
      <w:r w:rsidR="00782FB4" w:rsidRPr="008E376E">
        <w:rPr>
          <w:rFonts w:ascii="Times New Roman" w:hAnsi="Times New Roman" w:cs="Times New Roman"/>
          <w:sz w:val="24"/>
          <w:szCs w:val="24"/>
        </w:rPr>
        <w:t>us</w:t>
      </w:r>
      <w:r w:rsidR="00782FB4">
        <w:rPr>
          <w:rFonts w:ascii="Times New Roman" w:hAnsi="Times New Roman" w:cs="Times New Roman"/>
          <w:sz w:val="24"/>
          <w:szCs w:val="24"/>
        </w:rPr>
        <w:t>ing</w:t>
      </w:r>
      <w:r w:rsidR="00782FB4" w:rsidRPr="008E376E">
        <w:rPr>
          <w:rFonts w:ascii="Times New Roman" w:hAnsi="Times New Roman" w:cs="Times New Roman"/>
          <w:sz w:val="24"/>
          <w:szCs w:val="24"/>
        </w:rPr>
        <w:t xml:space="preserve"> professional</w:t>
      </w:r>
      <w:r w:rsidR="00782FB4">
        <w:rPr>
          <w:rFonts w:ascii="Times New Roman" w:hAnsi="Times New Roman" w:cs="Times New Roman"/>
          <w:sz w:val="24"/>
          <w:szCs w:val="24"/>
        </w:rPr>
        <w:t>, context driven</w:t>
      </w:r>
      <w:r w:rsidR="00782FB4" w:rsidRPr="008E376E">
        <w:rPr>
          <w:rFonts w:ascii="Times New Roman" w:hAnsi="Times New Roman" w:cs="Times New Roman"/>
          <w:sz w:val="24"/>
          <w:szCs w:val="24"/>
        </w:rPr>
        <w:t xml:space="preserve"> judgement</w:t>
      </w:r>
      <w:r w:rsidR="00782FB4">
        <w:rPr>
          <w:rFonts w:ascii="Times New Roman" w:hAnsi="Times New Roman" w:cs="Times New Roman"/>
          <w:sz w:val="24"/>
          <w:szCs w:val="24"/>
        </w:rPr>
        <w:t>s</w:t>
      </w:r>
      <w:r w:rsidR="00782FB4">
        <w:rPr>
          <w:rFonts w:ascii="Times New Roman" w:hAnsi="Times New Roman" w:cs="Times New Roman"/>
          <w:sz w:val="24"/>
          <w:szCs w:val="24"/>
        </w:rPr>
        <w:t>.</w:t>
      </w:r>
      <w:r>
        <w:rPr>
          <w:rFonts w:ascii="Times New Roman" w:hAnsi="Times New Roman" w:cs="Times New Roman"/>
          <w:sz w:val="24"/>
          <w:szCs w:val="24"/>
        </w:rPr>
        <w:t xml:space="preserve"> </w:t>
      </w:r>
    </w:p>
    <w:p w14:paraId="4A2B7535" w14:textId="77777777" w:rsidR="000E3885" w:rsidRPr="005A4B57" w:rsidRDefault="000E3885" w:rsidP="005A1155">
      <w:pPr>
        <w:spacing w:line="360" w:lineRule="auto"/>
        <w:rPr>
          <w:rFonts w:ascii="Times New Roman" w:hAnsi="Times New Roman" w:cs="Times New Roman"/>
          <w:b/>
          <w:sz w:val="24"/>
          <w:szCs w:val="24"/>
        </w:rPr>
      </w:pPr>
    </w:p>
    <w:p w14:paraId="003C5E4E" w14:textId="77777777" w:rsidR="000E3885" w:rsidRPr="005A4B57" w:rsidRDefault="000E3885" w:rsidP="005A4B57">
      <w:pPr>
        <w:spacing w:line="360" w:lineRule="auto"/>
        <w:jc w:val="center"/>
        <w:rPr>
          <w:rFonts w:ascii="Times New Roman" w:hAnsi="Times New Roman" w:cs="Times New Roman"/>
          <w:b/>
          <w:sz w:val="24"/>
          <w:szCs w:val="24"/>
        </w:rPr>
      </w:pPr>
      <w:r w:rsidRPr="005A4B57">
        <w:rPr>
          <w:rFonts w:ascii="Times New Roman" w:hAnsi="Times New Roman" w:cs="Times New Roman"/>
          <w:b/>
          <w:sz w:val="24"/>
          <w:szCs w:val="24"/>
        </w:rPr>
        <w:t>Some considerations from the field:</w:t>
      </w:r>
    </w:p>
    <w:p w14:paraId="26FA86F7" w14:textId="3B0B9476" w:rsidR="000E3885" w:rsidRDefault="00A344D3" w:rsidP="004E69EE">
      <w:pPr>
        <w:spacing w:line="360" w:lineRule="auto"/>
        <w:jc w:val="both"/>
        <w:rPr>
          <w:rFonts w:ascii="Times New Roman" w:hAnsi="Times New Roman" w:cs="Times New Roman"/>
          <w:sz w:val="24"/>
          <w:szCs w:val="24"/>
        </w:rPr>
      </w:pPr>
      <w:r>
        <w:rPr>
          <w:rFonts w:ascii="Times New Roman" w:hAnsi="Times New Roman" w:cs="Times New Roman"/>
          <w:sz w:val="24"/>
          <w:szCs w:val="24"/>
        </w:rPr>
        <w:t>For this study the BERA</w:t>
      </w:r>
      <w:r w:rsidRPr="00143330">
        <w:rPr>
          <w:rFonts w:ascii="Times New Roman" w:hAnsi="Times New Roman" w:cs="Times New Roman"/>
          <w:sz w:val="24"/>
          <w:szCs w:val="24"/>
        </w:rPr>
        <w:t xml:space="preserve"> – Ethical Guidelines for Research </w:t>
      </w:r>
      <w:r w:rsidR="000A246D">
        <w:rPr>
          <w:rFonts w:ascii="Times New Roman" w:hAnsi="Times New Roman" w:cs="Times New Roman"/>
          <w:sz w:val="24"/>
          <w:szCs w:val="24"/>
        </w:rPr>
        <w:t>(</w:t>
      </w:r>
      <w:r w:rsidRPr="00143330">
        <w:rPr>
          <w:rFonts w:ascii="Times New Roman" w:hAnsi="Times New Roman" w:cs="Times New Roman"/>
          <w:sz w:val="24"/>
          <w:szCs w:val="24"/>
        </w:rPr>
        <w:t>201</w:t>
      </w:r>
      <w:r>
        <w:rPr>
          <w:rFonts w:ascii="Times New Roman" w:hAnsi="Times New Roman" w:cs="Times New Roman"/>
          <w:sz w:val="24"/>
          <w:szCs w:val="24"/>
        </w:rPr>
        <w:t>1</w:t>
      </w:r>
      <w:r w:rsidR="000A246D">
        <w:rPr>
          <w:rFonts w:ascii="Times New Roman" w:hAnsi="Times New Roman" w:cs="Times New Roman"/>
          <w:sz w:val="24"/>
          <w:szCs w:val="24"/>
        </w:rPr>
        <w:t>)</w:t>
      </w:r>
      <w:r>
        <w:rPr>
          <w:rFonts w:ascii="Times New Roman" w:hAnsi="Times New Roman" w:cs="Times New Roman"/>
          <w:sz w:val="24"/>
          <w:szCs w:val="24"/>
        </w:rPr>
        <w:t xml:space="preserve"> as well as Maynooth University policies were employed. </w:t>
      </w:r>
      <w:r>
        <w:rPr>
          <w:rFonts w:ascii="Times New Roman" w:hAnsi="Times New Roman" w:cs="Times New Roman"/>
          <w:sz w:val="24"/>
          <w:szCs w:val="24"/>
        </w:rPr>
        <w:t>T</w:t>
      </w:r>
      <w:r w:rsidR="000E3885">
        <w:rPr>
          <w:rFonts w:ascii="Times New Roman" w:hAnsi="Times New Roman" w:cs="Times New Roman"/>
          <w:sz w:val="24"/>
          <w:szCs w:val="24"/>
        </w:rPr>
        <w:t>wo ethical dilemmas that occurred when researching in the field</w:t>
      </w:r>
      <w:r w:rsidR="009C4D6F">
        <w:rPr>
          <w:rFonts w:ascii="Times New Roman" w:hAnsi="Times New Roman" w:cs="Times New Roman"/>
          <w:sz w:val="24"/>
          <w:szCs w:val="24"/>
        </w:rPr>
        <w:t xml:space="preserve"> and</w:t>
      </w:r>
      <w:r w:rsidR="000E3885">
        <w:rPr>
          <w:rFonts w:ascii="Times New Roman" w:hAnsi="Times New Roman" w:cs="Times New Roman"/>
          <w:sz w:val="24"/>
          <w:szCs w:val="24"/>
        </w:rPr>
        <w:t xml:space="preserve"> </w:t>
      </w:r>
      <w:r w:rsidR="009C4D6F">
        <w:rPr>
          <w:rFonts w:ascii="Times New Roman" w:hAnsi="Times New Roman" w:cs="Times New Roman"/>
          <w:sz w:val="24"/>
          <w:szCs w:val="24"/>
        </w:rPr>
        <w:t>the</w:t>
      </w:r>
      <w:r w:rsidR="000A246D">
        <w:rPr>
          <w:rFonts w:ascii="Times New Roman" w:hAnsi="Times New Roman" w:cs="Times New Roman"/>
          <w:sz w:val="24"/>
          <w:szCs w:val="24"/>
        </w:rPr>
        <w:t xml:space="preserve"> </w:t>
      </w:r>
      <w:r w:rsidR="009C4D6F">
        <w:rPr>
          <w:rFonts w:ascii="Times New Roman" w:hAnsi="Times New Roman" w:cs="Times New Roman"/>
          <w:sz w:val="24"/>
          <w:szCs w:val="24"/>
        </w:rPr>
        <w:t>solutions</w:t>
      </w:r>
      <w:r>
        <w:rPr>
          <w:rFonts w:ascii="Times New Roman" w:hAnsi="Times New Roman" w:cs="Times New Roman"/>
          <w:sz w:val="24"/>
          <w:szCs w:val="24"/>
        </w:rPr>
        <w:t xml:space="preserve"> will be presented below. An insight into the active interpretation of the BERA guidelines during the </w:t>
      </w:r>
      <w:r w:rsidR="009C4D6F">
        <w:rPr>
          <w:rFonts w:ascii="Times New Roman" w:hAnsi="Times New Roman" w:cs="Times New Roman"/>
          <w:sz w:val="24"/>
          <w:szCs w:val="24"/>
        </w:rPr>
        <w:t>process of negotiation with the participants in the field is offered:</w:t>
      </w:r>
    </w:p>
    <w:p w14:paraId="66362D13" w14:textId="77777777" w:rsidR="00C8696C" w:rsidRDefault="00C8696C" w:rsidP="004E69EE">
      <w:pPr>
        <w:spacing w:line="360" w:lineRule="auto"/>
        <w:jc w:val="both"/>
        <w:rPr>
          <w:rFonts w:ascii="Times New Roman" w:hAnsi="Times New Roman" w:cs="Times New Roman"/>
          <w:sz w:val="24"/>
          <w:szCs w:val="24"/>
        </w:rPr>
      </w:pPr>
    </w:p>
    <w:p w14:paraId="74188726" w14:textId="77777777" w:rsidR="000E3885" w:rsidRPr="005A4B57" w:rsidRDefault="000E3885" w:rsidP="004E69EE">
      <w:pPr>
        <w:spacing w:line="360" w:lineRule="auto"/>
        <w:jc w:val="both"/>
        <w:rPr>
          <w:rFonts w:ascii="Times New Roman" w:hAnsi="Times New Roman" w:cs="Times New Roman"/>
          <w:b/>
          <w:sz w:val="24"/>
          <w:szCs w:val="24"/>
        </w:rPr>
      </w:pPr>
      <w:r w:rsidRPr="005A4B57">
        <w:rPr>
          <w:rFonts w:ascii="Times New Roman" w:hAnsi="Times New Roman" w:cs="Times New Roman"/>
          <w:b/>
          <w:sz w:val="24"/>
          <w:szCs w:val="24"/>
        </w:rPr>
        <w:t>Dilemma One:</w:t>
      </w:r>
    </w:p>
    <w:p w14:paraId="6C05A7BA" w14:textId="5066F5FB" w:rsidR="000E3885" w:rsidRPr="00A21AEB" w:rsidRDefault="000E3885" w:rsidP="004E69EE">
      <w:pPr>
        <w:spacing w:line="360" w:lineRule="auto"/>
        <w:jc w:val="both"/>
        <w:rPr>
          <w:rFonts w:ascii="Times New Roman" w:hAnsi="Times New Roman" w:cs="Times New Roman"/>
          <w:sz w:val="24"/>
          <w:szCs w:val="24"/>
        </w:rPr>
      </w:pPr>
      <w:r w:rsidRPr="00966040">
        <w:rPr>
          <w:rFonts w:ascii="Times New Roman" w:hAnsi="Times New Roman" w:cs="Times New Roman"/>
          <w:sz w:val="24"/>
          <w:szCs w:val="24"/>
        </w:rPr>
        <w:t xml:space="preserve">The school </w:t>
      </w:r>
      <w:r>
        <w:rPr>
          <w:rFonts w:ascii="Times New Roman" w:hAnsi="Times New Roman" w:cs="Times New Roman"/>
          <w:sz w:val="24"/>
          <w:szCs w:val="24"/>
        </w:rPr>
        <w:t xml:space="preserve">considered </w:t>
      </w:r>
      <w:r w:rsidR="000A246D">
        <w:rPr>
          <w:rFonts w:ascii="Times New Roman" w:hAnsi="Times New Roman" w:cs="Times New Roman"/>
          <w:sz w:val="24"/>
          <w:szCs w:val="24"/>
        </w:rPr>
        <w:t>itself</w:t>
      </w:r>
      <w:r>
        <w:rPr>
          <w:rFonts w:ascii="Times New Roman" w:hAnsi="Times New Roman" w:cs="Times New Roman"/>
          <w:sz w:val="24"/>
          <w:szCs w:val="24"/>
        </w:rPr>
        <w:t xml:space="preserve"> </w:t>
      </w:r>
      <w:r w:rsidR="000A246D">
        <w:rPr>
          <w:rFonts w:ascii="Times New Roman" w:hAnsi="Times New Roman" w:cs="Times New Roman"/>
          <w:sz w:val="24"/>
          <w:szCs w:val="24"/>
        </w:rPr>
        <w:t xml:space="preserve">the sole </w:t>
      </w:r>
      <w:r>
        <w:rPr>
          <w:rFonts w:ascii="Times New Roman" w:hAnsi="Times New Roman" w:cs="Times New Roman"/>
          <w:sz w:val="24"/>
          <w:szCs w:val="24"/>
        </w:rPr>
        <w:t xml:space="preserve">gate-keeper and as such did not think parental consent </w:t>
      </w:r>
      <w:r w:rsidR="00133289">
        <w:rPr>
          <w:rFonts w:ascii="Times New Roman" w:hAnsi="Times New Roman" w:cs="Times New Roman"/>
          <w:sz w:val="24"/>
          <w:szCs w:val="24"/>
        </w:rPr>
        <w:t>wa</w:t>
      </w:r>
      <w:r>
        <w:rPr>
          <w:rFonts w:ascii="Times New Roman" w:hAnsi="Times New Roman" w:cs="Times New Roman"/>
          <w:sz w:val="24"/>
          <w:szCs w:val="24"/>
        </w:rPr>
        <w:t>s necessary</w:t>
      </w:r>
      <w:r w:rsidR="00C16E5B">
        <w:rPr>
          <w:rFonts w:ascii="Times New Roman" w:hAnsi="Times New Roman" w:cs="Times New Roman"/>
          <w:sz w:val="24"/>
          <w:szCs w:val="24"/>
        </w:rPr>
        <w:t xml:space="preserve"> for the researcher</w:t>
      </w:r>
      <w:r>
        <w:rPr>
          <w:rFonts w:ascii="Times New Roman" w:hAnsi="Times New Roman" w:cs="Times New Roman"/>
          <w:sz w:val="24"/>
          <w:szCs w:val="24"/>
        </w:rPr>
        <w:t xml:space="preserve">. </w:t>
      </w:r>
      <w:r w:rsidR="004A11FE">
        <w:rPr>
          <w:rFonts w:ascii="Times New Roman" w:hAnsi="Times New Roman" w:cs="Times New Roman"/>
          <w:sz w:val="24"/>
          <w:szCs w:val="24"/>
        </w:rPr>
        <w:t>Its</w:t>
      </w:r>
      <w:r>
        <w:rPr>
          <w:rFonts w:ascii="Times New Roman" w:hAnsi="Times New Roman" w:cs="Times New Roman"/>
          <w:sz w:val="24"/>
          <w:szCs w:val="24"/>
        </w:rPr>
        <w:t xml:space="preserve"> reasons were </w:t>
      </w:r>
      <w:r w:rsidR="00F306C3">
        <w:rPr>
          <w:rFonts w:ascii="Times New Roman" w:hAnsi="Times New Roman" w:cs="Times New Roman"/>
          <w:sz w:val="24"/>
          <w:szCs w:val="24"/>
        </w:rPr>
        <w:t>as follows</w:t>
      </w:r>
      <w:r>
        <w:rPr>
          <w:rFonts w:ascii="Times New Roman" w:hAnsi="Times New Roman" w:cs="Times New Roman"/>
          <w:sz w:val="24"/>
          <w:szCs w:val="24"/>
        </w:rPr>
        <w:t>: (1)</w:t>
      </w:r>
      <w:r w:rsidR="00157958">
        <w:t xml:space="preserve"> </w:t>
      </w:r>
      <w:r w:rsidRPr="009D0D04">
        <w:rPr>
          <w:rFonts w:ascii="Times New Roman" w:hAnsi="Times New Roman" w:cs="Times New Roman"/>
          <w:sz w:val="24"/>
          <w:szCs w:val="24"/>
        </w:rPr>
        <w:t xml:space="preserve">Due to high political tensions </w:t>
      </w:r>
      <w:r w:rsidR="00F306C3">
        <w:rPr>
          <w:rFonts w:ascii="Times New Roman" w:hAnsi="Times New Roman" w:cs="Times New Roman"/>
          <w:sz w:val="24"/>
          <w:szCs w:val="24"/>
        </w:rPr>
        <w:t xml:space="preserve">there was already unrest </w:t>
      </w:r>
      <w:r w:rsidRPr="009D0D04">
        <w:rPr>
          <w:rFonts w:ascii="Times New Roman" w:hAnsi="Times New Roman" w:cs="Times New Roman"/>
          <w:sz w:val="24"/>
          <w:szCs w:val="24"/>
        </w:rPr>
        <w:t xml:space="preserve">in </w:t>
      </w:r>
      <w:r w:rsidR="00F306C3">
        <w:rPr>
          <w:rFonts w:ascii="Times New Roman" w:hAnsi="Times New Roman" w:cs="Times New Roman"/>
          <w:sz w:val="24"/>
          <w:szCs w:val="24"/>
        </w:rPr>
        <w:t xml:space="preserve">children’s </w:t>
      </w:r>
      <w:r w:rsidRPr="009D0D04">
        <w:rPr>
          <w:rFonts w:ascii="Times New Roman" w:hAnsi="Times New Roman" w:cs="Times New Roman"/>
          <w:sz w:val="24"/>
          <w:szCs w:val="24"/>
        </w:rPr>
        <w:t>community</w:t>
      </w:r>
      <w:r w:rsidR="00AA61AB">
        <w:rPr>
          <w:rStyle w:val="FootnoteReference"/>
          <w:rFonts w:ascii="Times New Roman" w:hAnsi="Times New Roman" w:cs="Times New Roman"/>
          <w:sz w:val="24"/>
          <w:szCs w:val="24"/>
        </w:rPr>
        <w:footnoteReference w:id="2"/>
      </w:r>
      <w:r w:rsidR="00F306C3">
        <w:rPr>
          <w:rFonts w:ascii="Times New Roman" w:hAnsi="Times New Roman" w:cs="Times New Roman"/>
          <w:sz w:val="24"/>
          <w:szCs w:val="24"/>
        </w:rPr>
        <w:t xml:space="preserve"> (2)</w:t>
      </w:r>
      <w:r w:rsidR="00C705A7">
        <w:rPr>
          <w:rFonts w:ascii="Times New Roman" w:hAnsi="Times New Roman" w:cs="Times New Roman"/>
          <w:sz w:val="24"/>
          <w:szCs w:val="24"/>
        </w:rPr>
        <w:t xml:space="preserve"> </w:t>
      </w:r>
      <w:r w:rsidRPr="009D0D04">
        <w:rPr>
          <w:rFonts w:ascii="Times New Roman" w:hAnsi="Times New Roman" w:cs="Times New Roman"/>
          <w:sz w:val="24"/>
          <w:szCs w:val="24"/>
        </w:rPr>
        <w:t>the presence of a</w:t>
      </w:r>
      <w:r w:rsidR="00133289">
        <w:rPr>
          <w:rFonts w:ascii="Times New Roman" w:hAnsi="Times New Roman" w:cs="Times New Roman"/>
          <w:sz w:val="24"/>
          <w:szCs w:val="24"/>
        </w:rPr>
        <w:t xml:space="preserve"> </w:t>
      </w:r>
      <w:r w:rsidR="00A35402">
        <w:rPr>
          <w:rFonts w:ascii="Times New Roman" w:hAnsi="Times New Roman" w:cs="Times New Roman"/>
          <w:sz w:val="24"/>
          <w:szCs w:val="24"/>
        </w:rPr>
        <w:t xml:space="preserve">white, </w:t>
      </w:r>
      <w:r w:rsidR="00133289">
        <w:rPr>
          <w:rFonts w:ascii="Times New Roman" w:hAnsi="Times New Roman" w:cs="Times New Roman"/>
          <w:sz w:val="24"/>
          <w:szCs w:val="24"/>
        </w:rPr>
        <w:t>European</w:t>
      </w:r>
      <w:r w:rsidRPr="009D0D04">
        <w:rPr>
          <w:rFonts w:ascii="Times New Roman" w:hAnsi="Times New Roman" w:cs="Times New Roman"/>
          <w:sz w:val="24"/>
          <w:szCs w:val="24"/>
        </w:rPr>
        <w:t xml:space="preserve"> </w:t>
      </w:r>
      <w:r w:rsidRPr="009D0D04">
        <w:rPr>
          <w:rFonts w:ascii="Times New Roman" w:hAnsi="Times New Roman" w:cs="Times New Roman"/>
          <w:sz w:val="24"/>
          <w:szCs w:val="24"/>
        </w:rPr>
        <w:lastRenderedPageBreak/>
        <w:t>researcher in the school may attract unwanted attention or extortion</w:t>
      </w:r>
      <w:r w:rsidR="006C07CB">
        <w:rPr>
          <w:rFonts w:ascii="Times New Roman" w:hAnsi="Times New Roman" w:cs="Times New Roman"/>
          <w:sz w:val="24"/>
          <w:szCs w:val="24"/>
        </w:rPr>
        <w:t>s</w:t>
      </w:r>
      <w:r w:rsidRPr="009D0D04">
        <w:rPr>
          <w:rFonts w:ascii="Times New Roman" w:hAnsi="Times New Roman" w:cs="Times New Roman"/>
          <w:sz w:val="24"/>
          <w:szCs w:val="24"/>
        </w:rPr>
        <w:t xml:space="preserve"> of money</w:t>
      </w:r>
      <w:r w:rsidR="00A35402">
        <w:rPr>
          <w:rFonts w:ascii="Times New Roman" w:hAnsi="Times New Roman" w:cs="Times New Roman"/>
          <w:sz w:val="24"/>
          <w:szCs w:val="24"/>
        </w:rPr>
        <w:t>.</w:t>
      </w:r>
      <w:r w:rsidRPr="002928BB">
        <w:rPr>
          <w:rFonts w:ascii="Times New Roman" w:hAnsi="Times New Roman" w:cs="Times New Roman"/>
          <w:sz w:val="24"/>
          <w:szCs w:val="24"/>
        </w:rPr>
        <w:t xml:space="preserve"> (</w:t>
      </w:r>
      <w:r w:rsidR="00F306C3">
        <w:rPr>
          <w:rFonts w:ascii="Times New Roman" w:hAnsi="Times New Roman" w:cs="Times New Roman"/>
          <w:sz w:val="24"/>
          <w:szCs w:val="24"/>
        </w:rPr>
        <w:t>3</w:t>
      </w:r>
      <w:r w:rsidRPr="002928BB">
        <w:rPr>
          <w:rFonts w:ascii="Times New Roman" w:hAnsi="Times New Roman" w:cs="Times New Roman"/>
          <w:sz w:val="24"/>
          <w:szCs w:val="24"/>
        </w:rPr>
        <w:t xml:space="preserve">) </w:t>
      </w:r>
      <w:r w:rsidR="008105D1">
        <w:rPr>
          <w:rFonts w:ascii="Times New Roman" w:hAnsi="Times New Roman" w:cs="Times New Roman"/>
          <w:sz w:val="24"/>
          <w:szCs w:val="24"/>
        </w:rPr>
        <w:t xml:space="preserve">Most of the pre-school </w:t>
      </w:r>
      <w:r w:rsidRPr="002928BB">
        <w:rPr>
          <w:rFonts w:ascii="Times New Roman" w:hAnsi="Times New Roman" w:cs="Times New Roman"/>
          <w:sz w:val="24"/>
          <w:szCs w:val="24"/>
        </w:rPr>
        <w:t xml:space="preserve">children in the </w:t>
      </w:r>
      <w:r w:rsidR="008105D1">
        <w:rPr>
          <w:rFonts w:ascii="Times New Roman" w:hAnsi="Times New Roman" w:cs="Times New Roman"/>
          <w:sz w:val="24"/>
          <w:szCs w:val="24"/>
        </w:rPr>
        <w:t xml:space="preserve">research project </w:t>
      </w:r>
      <w:r w:rsidR="00D2006E">
        <w:rPr>
          <w:rFonts w:ascii="Times New Roman" w:hAnsi="Times New Roman" w:cs="Times New Roman"/>
          <w:sz w:val="24"/>
          <w:szCs w:val="24"/>
        </w:rPr>
        <w:t>have</w:t>
      </w:r>
      <w:r w:rsidRPr="002928BB">
        <w:rPr>
          <w:rFonts w:ascii="Times New Roman" w:hAnsi="Times New Roman" w:cs="Times New Roman"/>
          <w:sz w:val="24"/>
          <w:szCs w:val="24"/>
        </w:rPr>
        <w:t xml:space="preserve"> no prior relationship</w:t>
      </w:r>
      <w:r w:rsidR="00D2006E">
        <w:rPr>
          <w:rFonts w:ascii="Times New Roman" w:hAnsi="Times New Roman" w:cs="Times New Roman"/>
          <w:sz w:val="24"/>
          <w:szCs w:val="24"/>
        </w:rPr>
        <w:t xml:space="preserve"> with the school, thus t</w:t>
      </w:r>
      <w:r w:rsidRPr="002928BB">
        <w:rPr>
          <w:rFonts w:ascii="Times New Roman" w:hAnsi="Times New Roman" w:cs="Times New Roman"/>
          <w:sz w:val="24"/>
          <w:szCs w:val="24"/>
        </w:rPr>
        <w:t xml:space="preserve">he school </w:t>
      </w:r>
      <w:r w:rsidR="00EE3C52">
        <w:rPr>
          <w:rFonts w:ascii="Times New Roman" w:hAnsi="Times New Roman" w:cs="Times New Roman"/>
          <w:sz w:val="24"/>
          <w:szCs w:val="24"/>
        </w:rPr>
        <w:t>is</w:t>
      </w:r>
      <w:r w:rsidRPr="002928BB">
        <w:rPr>
          <w:rFonts w:ascii="Times New Roman" w:hAnsi="Times New Roman" w:cs="Times New Roman"/>
          <w:sz w:val="24"/>
          <w:szCs w:val="24"/>
        </w:rPr>
        <w:t xml:space="preserve"> in a tentative position with new parents (often minors themselves) and d</w:t>
      </w:r>
      <w:r w:rsidR="00516AFE">
        <w:rPr>
          <w:rFonts w:ascii="Times New Roman" w:hAnsi="Times New Roman" w:cs="Times New Roman"/>
          <w:sz w:val="24"/>
          <w:szCs w:val="24"/>
        </w:rPr>
        <w:t>id</w:t>
      </w:r>
      <w:r w:rsidRPr="002928BB">
        <w:rPr>
          <w:rFonts w:ascii="Times New Roman" w:hAnsi="Times New Roman" w:cs="Times New Roman"/>
          <w:sz w:val="24"/>
          <w:szCs w:val="24"/>
        </w:rPr>
        <w:t xml:space="preserve"> not want to alarm</w:t>
      </w:r>
      <w:r w:rsidR="00E44148">
        <w:rPr>
          <w:rFonts w:ascii="Times New Roman" w:hAnsi="Times New Roman" w:cs="Times New Roman"/>
          <w:sz w:val="24"/>
          <w:szCs w:val="24"/>
        </w:rPr>
        <w:t xml:space="preserve"> them</w:t>
      </w:r>
      <w:r w:rsidR="00A35402">
        <w:rPr>
          <w:rFonts w:ascii="Times New Roman" w:hAnsi="Times New Roman" w:cs="Times New Roman"/>
          <w:sz w:val="24"/>
          <w:szCs w:val="24"/>
        </w:rPr>
        <w:t xml:space="preserve"> with official forms</w:t>
      </w:r>
      <w:r w:rsidRPr="002928BB">
        <w:rPr>
          <w:rFonts w:ascii="Times New Roman" w:hAnsi="Times New Roman" w:cs="Times New Roman"/>
          <w:sz w:val="24"/>
          <w:szCs w:val="24"/>
        </w:rPr>
        <w:t>.</w:t>
      </w:r>
      <w:r w:rsidR="00A35402">
        <w:rPr>
          <w:rFonts w:ascii="Times New Roman" w:hAnsi="Times New Roman" w:cs="Times New Roman"/>
          <w:sz w:val="24"/>
          <w:szCs w:val="24"/>
        </w:rPr>
        <w:t xml:space="preserve"> </w:t>
      </w:r>
      <w:r>
        <w:rPr>
          <w:rFonts w:ascii="Times New Roman" w:hAnsi="Times New Roman" w:cs="Times New Roman"/>
          <w:sz w:val="24"/>
          <w:szCs w:val="24"/>
        </w:rPr>
        <w:t>(</w:t>
      </w:r>
      <w:r w:rsidR="00083DE3">
        <w:rPr>
          <w:rFonts w:ascii="Times New Roman" w:hAnsi="Times New Roman" w:cs="Times New Roman"/>
          <w:sz w:val="24"/>
          <w:szCs w:val="24"/>
        </w:rPr>
        <w:t>4</w:t>
      </w:r>
      <w:bookmarkStart w:id="0" w:name="_GoBack"/>
      <w:bookmarkEnd w:id="0"/>
      <w:r>
        <w:rPr>
          <w:rFonts w:ascii="Times New Roman" w:hAnsi="Times New Roman" w:cs="Times New Roman"/>
          <w:sz w:val="24"/>
          <w:szCs w:val="24"/>
        </w:rPr>
        <w:t xml:space="preserve">) </w:t>
      </w:r>
      <w:r w:rsidR="008105D1">
        <w:rPr>
          <w:rFonts w:ascii="Times New Roman" w:hAnsi="Times New Roman" w:cs="Times New Roman"/>
          <w:sz w:val="24"/>
          <w:szCs w:val="24"/>
        </w:rPr>
        <w:t>Reflecti</w:t>
      </w:r>
      <w:r w:rsidR="00D2006E">
        <w:rPr>
          <w:rFonts w:ascii="Times New Roman" w:hAnsi="Times New Roman" w:cs="Times New Roman"/>
          <w:sz w:val="24"/>
          <w:szCs w:val="24"/>
        </w:rPr>
        <w:t>ng</w:t>
      </w:r>
      <w:r w:rsidRPr="00A21AEB">
        <w:rPr>
          <w:rFonts w:ascii="Times New Roman" w:hAnsi="Times New Roman" w:cs="Times New Roman"/>
          <w:sz w:val="24"/>
          <w:szCs w:val="24"/>
        </w:rPr>
        <w:t xml:space="preserve"> local practice, the school ha</w:t>
      </w:r>
      <w:r w:rsidR="00A35402">
        <w:rPr>
          <w:rFonts w:ascii="Times New Roman" w:hAnsi="Times New Roman" w:cs="Times New Roman"/>
          <w:sz w:val="24"/>
          <w:szCs w:val="24"/>
        </w:rPr>
        <w:t>s</w:t>
      </w:r>
      <w:r w:rsidR="00D2006E">
        <w:rPr>
          <w:rFonts w:ascii="Times New Roman" w:hAnsi="Times New Roman" w:cs="Times New Roman"/>
          <w:sz w:val="24"/>
          <w:szCs w:val="24"/>
        </w:rPr>
        <w:t xml:space="preserve"> traditionally</w:t>
      </w:r>
      <w:r w:rsidRPr="00A21AEB">
        <w:rPr>
          <w:rFonts w:ascii="Times New Roman" w:hAnsi="Times New Roman" w:cs="Times New Roman"/>
          <w:sz w:val="24"/>
          <w:szCs w:val="24"/>
        </w:rPr>
        <w:t xml:space="preserve"> been the gatekeeper to children</w:t>
      </w:r>
      <w:r w:rsidR="00133289">
        <w:rPr>
          <w:rFonts w:ascii="Times New Roman" w:hAnsi="Times New Roman" w:cs="Times New Roman"/>
          <w:sz w:val="24"/>
          <w:szCs w:val="24"/>
        </w:rPr>
        <w:t xml:space="preserve"> and </w:t>
      </w:r>
      <w:r w:rsidRPr="00A21AEB">
        <w:rPr>
          <w:rFonts w:ascii="Times New Roman" w:hAnsi="Times New Roman" w:cs="Times New Roman"/>
          <w:sz w:val="24"/>
          <w:szCs w:val="24"/>
        </w:rPr>
        <w:t>the</w:t>
      </w:r>
      <w:r w:rsidR="00133289">
        <w:rPr>
          <w:rFonts w:ascii="Times New Roman" w:hAnsi="Times New Roman" w:cs="Times New Roman"/>
          <w:sz w:val="24"/>
          <w:szCs w:val="24"/>
        </w:rPr>
        <w:t>ir</w:t>
      </w:r>
      <w:r w:rsidRPr="00A21AEB">
        <w:rPr>
          <w:rFonts w:ascii="Times New Roman" w:hAnsi="Times New Roman" w:cs="Times New Roman"/>
          <w:sz w:val="24"/>
          <w:szCs w:val="24"/>
        </w:rPr>
        <w:t xml:space="preserve"> data.</w:t>
      </w:r>
    </w:p>
    <w:p w14:paraId="011FBE2C" w14:textId="77777777" w:rsidR="00E53734" w:rsidRPr="005A4B57" w:rsidRDefault="00E53734" w:rsidP="00E53734">
      <w:pPr>
        <w:pStyle w:val="NormalWeb"/>
        <w:spacing w:line="360" w:lineRule="auto"/>
        <w:jc w:val="both"/>
        <w:rPr>
          <w:b/>
        </w:rPr>
      </w:pPr>
      <w:r>
        <w:rPr>
          <w:b/>
        </w:rPr>
        <w:t>Interpreting the</w:t>
      </w:r>
      <w:r w:rsidRPr="005A4B57">
        <w:rPr>
          <w:b/>
        </w:rPr>
        <w:t xml:space="preserve"> BERA Guidelines:</w:t>
      </w:r>
    </w:p>
    <w:p w14:paraId="2F93E1ED" w14:textId="5E33364C" w:rsidR="00516AFE" w:rsidRDefault="00E53734" w:rsidP="00E53734">
      <w:pPr>
        <w:pStyle w:val="NormalWeb"/>
        <w:spacing w:line="360" w:lineRule="auto"/>
        <w:jc w:val="both"/>
      </w:pPr>
      <w:r>
        <w:t>Although</w:t>
      </w:r>
      <w:r>
        <w:t xml:space="preserve"> the</w:t>
      </w:r>
      <w:r>
        <w:t xml:space="preserve"> guidelines say informed consent should be obtained prior to the research process getting underway, it also states that the researcher should aim to avoid deception </w:t>
      </w:r>
      <w:r w:rsidRPr="00996BD1">
        <w:rPr>
          <w:i/>
        </w:rPr>
        <w:t>unless</w:t>
      </w:r>
      <w:r>
        <w:t xml:space="preserve"> the research design requires it, or the researcher’s welfare is put in jeopardy</w:t>
      </w:r>
      <w:r w:rsidRPr="00A37594">
        <w:t xml:space="preserve"> (BERA, 2011</w:t>
      </w:r>
      <w:r>
        <w:t>,</w:t>
      </w:r>
      <w:r w:rsidRPr="00A37594">
        <w:t xml:space="preserve"> p6)</w:t>
      </w:r>
      <w:r>
        <w:t xml:space="preserve">. </w:t>
      </w:r>
      <w:r w:rsidR="00516AFE">
        <w:t>The school</w:t>
      </w:r>
      <w:r>
        <w:t xml:space="preserve"> made the case that tentative relationships formed with new parents allow</w:t>
      </w:r>
      <w:r w:rsidR="00A942E9">
        <w:t>ed</w:t>
      </w:r>
      <w:r>
        <w:t xml:space="preserve"> </w:t>
      </w:r>
      <w:r w:rsidR="0018311B">
        <w:t xml:space="preserve">vulnerable young </w:t>
      </w:r>
      <w:r>
        <w:t>children continued access to education, healthcare, and food</w:t>
      </w:r>
      <w:r w:rsidR="00516AFE">
        <w:t xml:space="preserve"> </w:t>
      </w:r>
      <w:r w:rsidR="00584D08">
        <w:t xml:space="preserve">and that </w:t>
      </w:r>
      <w:r w:rsidR="00516AFE">
        <w:t>d</w:t>
      </w:r>
      <w:r>
        <w:t>isrupting that process with official paperwork could cause the parents to withdraw their children</w:t>
      </w:r>
      <w:r w:rsidR="00516AFE">
        <w:t xml:space="preserve"> causing them harm</w:t>
      </w:r>
      <w:r>
        <w:t xml:space="preserve">. </w:t>
      </w:r>
      <w:r w:rsidR="00516AFE">
        <w:t xml:space="preserve">It </w:t>
      </w:r>
      <w:r w:rsidR="00516AFE">
        <w:t xml:space="preserve">also </w:t>
      </w:r>
      <w:r w:rsidR="00516AFE">
        <w:t>argued that due to political tensions the welfare of all participants would be put in jeopardy if it were to disseminate the consent forms</w:t>
      </w:r>
      <w:r w:rsidR="00516AFE">
        <w:t xml:space="preserve"> alerting local politicians to the presence of a white, European researcher. </w:t>
      </w:r>
      <w:r w:rsidR="009F1434">
        <w:t>Using an ethical radar to interpret the BERA guidelines in this instance led the researcher to consider the risks to the welfare of the children, the school, and herself outweigh</w:t>
      </w:r>
      <w:r w:rsidR="00242ECF">
        <w:t>ed</w:t>
      </w:r>
      <w:r w:rsidR="009F1434">
        <w:t xml:space="preserve"> the risks of not having consent prior to entering the field.</w:t>
      </w:r>
    </w:p>
    <w:p w14:paraId="44FEDA60" w14:textId="0BBF7820" w:rsidR="006F301F" w:rsidRDefault="00E53734" w:rsidP="004E69EE">
      <w:pPr>
        <w:pStyle w:val="NormalWeb"/>
        <w:spacing w:line="360" w:lineRule="auto"/>
        <w:jc w:val="both"/>
      </w:pPr>
      <w:r>
        <w:t>The 1992 iteration of BERA</w:t>
      </w:r>
      <w:r>
        <w:rPr>
          <w:iCs/>
        </w:rPr>
        <w:t xml:space="preserve"> cited in Mortari and Harcourt </w:t>
      </w:r>
      <w:bookmarkStart w:id="1" w:name="_Hlk500712312"/>
      <w:r>
        <w:rPr>
          <w:iCs/>
        </w:rPr>
        <w:t>(2012)</w:t>
      </w:r>
      <w:bookmarkEnd w:id="1"/>
      <w:r>
        <w:t xml:space="preserve"> suggested that when interviewing children under 16 years “</w:t>
      </w:r>
      <w:r w:rsidRPr="0036412D">
        <w:rPr>
          <w:iCs/>
        </w:rPr>
        <w:t>permission should be obtained from the school, and if they so suggest, the parents</w:t>
      </w:r>
      <w:r>
        <w:rPr>
          <w:iCs/>
        </w:rPr>
        <w:t>”</w:t>
      </w:r>
      <w:r w:rsidRPr="002E3991">
        <w:rPr>
          <w:iCs/>
        </w:rPr>
        <w:t xml:space="preserve"> </w:t>
      </w:r>
      <w:r>
        <w:rPr>
          <w:iCs/>
        </w:rPr>
        <w:t xml:space="preserve">(2012, p237). This would suggest that (at least historically) the school were considered the gatekeepers of children. </w:t>
      </w:r>
      <w:r w:rsidR="00516AFE">
        <w:t>The school argued that in line with local culture and practice, it was the gatekeeper</w:t>
      </w:r>
      <w:r w:rsidR="009F1434">
        <w:t xml:space="preserve"> thus, when interpreted with an ethical radar the researcher</w:t>
      </w:r>
      <w:r w:rsidR="00242ECF">
        <w:t>, using reflexive and situational judgements, agreed that</w:t>
      </w:r>
      <w:r w:rsidR="009F1434">
        <w:t xml:space="preserve"> the school </w:t>
      </w:r>
      <w:r w:rsidR="00793FCD">
        <w:t xml:space="preserve">could be considered </w:t>
      </w:r>
      <w:r w:rsidR="009F1434">
        <w:t>the gatekeeper</w:t>
      </w:r>
      <w:r w:rsidR="009F1434">
        <w:t xml:space="preserve"> </w:t>
      </w:r>
      <w:r w:rsidR="00242ECF">
        <w:t>(</w:t>
      </w:r>
      <w:r w:rsidR="009F1434">
        <w:t>in line with local custom</w:t>
      </w:r>
      <w:r w:rsidR="00242ECF">
        <w:t>)</w:t>
      </w:r>
      <w:r w:rsidR="009F1434">
        <w:t xml:space="preserve"> </w:t>
      </w:r>
      <w:r w:rsidR="009F1434">
        <w:t xml:space="preserve">in this </w:t>
      </w:r>
      <w:r w:rsidR="00891C68">
        <w:t>instance</w:t>
      </w:r>
      <w:r w:rsidR="009F1434">
        <w:t xml:space="preserve">. </w:t>
      </w:r>
    </w:p>
    <w:p w14:paraId="4CD37978" w14:textId="77777777" w:rsidR="000E3885" w:rsidRPr="005A4B57" w:rsidRDefault="000E3885" w:rsidP="004E69EE">
      <w:pPr>
        <w:pStyle w:val="NormalWeb"/>
        <w:spacing w:line="360" w:lineRule="auto"/>
        <w:jc w:val="both"/>
        <w:rPr>
          <w:b/>
        </w:rPr>
      </w:pPr>
      <w:r w:rsidRPr="005A4B57">
        <w:rPr>
          <w:b/>
        </w:rPr>
        <w:t>Dilemma Two:</w:t>
      </w:r>
    </w:p>
    <w:p w14:paraId="67E7D153" w14:textId="146C2E14" w:rsidR="000E3885" w:rsidRPr="00F47457" w:rsidRDefault="00321F90" w:rsidP="004E69EE">
      <w:pPr>
        <w:pStyle w:val="NormalWeb"/>
        <w:spacing w:line="360" w:lineRule="auto"/>
        <w:jc w:val="both"/>
      </w:pPr>
      <w:r>
        <w:t>A decision was taken</w:t>
      </w:r>
      <w:r w:rsidR="00886F03">
        <w:t xml:space="preserve"> prior to</w:t>
      </w:r>
      <w:r w:rsidR="004B14C8">
        <w:t xml:space="preserve"> the</w:t>
      </w:r>
      <w:r>
        <w:t xml:space="preserve"> </w:t>
      </w:r>
      <w:r w:rsidR="009442AB">
        <w:t xml:space="preserve">Maynooth </w:t>
      </w:r>
      <w:r>
        <w:t>University</w:t>
      </w:r>
      <w:r w:rsidR="000E3885">
        <w:t xml:space="preserve"> ethic</w:t>
      </w:r>
      <w:r w:rsidR="00886F03">
        <w:t>s process</w:t>
      </w:r>
      <w:r>
        <w:t>,</w:t>
      </w:r>
      <w:r w:rsidR="000E3885">
        <w:t xml:space="preserve"> </w:t>
      </w:r>
      <w:r w:rsidR="006F301F">
        <w:t>to anonymise the data as per</w:t>
      </w:r>
      <w:r w:rsidR="000E3885">
        <w:t xml:space="preserve"> BERA guidelines (2011) but during the pilot trip the school expressed dissatisfaction. </w:t>
      </w:r>
      <w:r w:rsidR="00242ECF">
        <w:lastRenderedPageBreak/>
        <w:t>I</w:t>
      </w:r>
      <w:r w:rsidR="009442AB">
        <w:t>ts</w:t>
      </w:r>
      <w:r w:rsidR="000E3885">
        <w:t xml:space="preserve"> rationale was three-fold: (1) As co-researchers and</w:t>
      </w:r>
      <w:r w:rsidR="009442AB">
        <w:t xml:space="preserve"> equal</w:t>
      </w:r>
      <w:r w:rsidR="000E3885">
        <w:t xml:space="preserve"> partner</w:t>
      </w:r>
      <w:r w:rsidR="009442AB">
        <w:t>s it</w:t>
      </w:r>
      <w:r w:rsidR="000E3885">
        <w:t xml:space="preserve"> wanted recognition for doing half the work. (2) </w:t>
      </w:r>
      <w:r>
        <w:t>C</w:t>
      </w:r>
      <w:r w:rsidR="000E3885">
        <w:t xml:space="preserve">hildren and parents who have no official, documented identity (at least 10% of the data set had no recorded birth dates) should be offered the choice </w:t>
      </w:r>
      <w:r>
        <w:t xml:space="preserve">of </w:t>
      </w:r>
      <w:r w:rsidR="000E3885">
        <w:t>anonym</w:t>
      </w:r>
      <w:r>
        <w:t>ity</w:t>
      </w:r>
      <w:r w:rsidR="000E3885">
        <w:t xml:space="preserve"> or </w:t>
      </w:r>
      <w:r>
        <w:t>recognition in</w:t>
      </w:r>
      <w:r w:rsidR="000E3885">
        <w:t xml:space="preserve"> an</w:t>
      </w:r>
      <w:r>
        <w:t>y</w:t>
      </w:r>
      <w:r w:rsidR="000E3885">
        <w:t xml:space="preserve"> official document. (3) The </w:t>
      </w:r>
      <w:r w:rsidR="009442AB">
        <w:t>s</w:t>
      </w:r>
      <w:r w:rsidR="000E3885">
        <w:t>chool wish</w:t>
      </w:r>
      <w:r w:rsidR="009D3D11">
        <w:t xml:space="preserve">ed to promote the potential of the children in this </w:t>
      </w:r>
      <w:r w:rsidR="009442AB">
        <w:t xml:space="preserve">(often invisible) </w:t>
      </w:r>
      <w:r w:rsidR="009D3D11">
        <w:t>community.</w:t>
      </w:r>
    </w:p>
    <w:p w14:paraId="3BF696E6" w14:textId="77777777" w:rsidR="00BE2F27" w:rsidRDefault="009442AB" w:rsidP="009442AB">
      <w:pPr>
        <w:pStyle w:val="NormalWeb"/>
        <w:spacing w:line="360" w:lineRule="auto"/>
        <w:jc w:val="both"/>
        <w:rPr>
          <w:b/>
        </w:rPr>
      </w:pPr>
      <w:r>
        <w:rPr>
          <w:b/>
        </w:rPr>
        <w:t>Interpreting the</w:t>
      </w:r>
      <w:r>
        <w:rPr>
          <w:b/>
        </w:rPr>
        <w:t xml:space="preserve"> </w:t>
      </w:r>
      <w:r w:rsidRPr="005A4B57">
        <w:rPr>
          <w:b/>
        </w:rPr>
        <w:t>BERA Guidelines:</w:t>
      </w:r>
    </w:p>
    <w:p w14:paraId="012A0CD9" w14:textId="77777777" w:rsidR="000058A6" w:rsidRDefault="00BE2F27" w:rsidP="009442AB">
      <w:pPr>
        <w:pStyle w:val="NormalWeb"/>
        <w:spacing w:line="360" w:lineRule="auto"/>
        <w:jc w:val="both"/>
      </w:pPr>
      <w:r>
        <w:t>The</w:t>
      </w:r>
      <w:r w:rsidR="009442AB">
        <w:t xml:space="preserve"> guidelines state that although anonymising participants’ data is the norm</w:t>
      </w:r>
      <w:r w:rsidR="003A4547">
        <w:t>,</w:t>
      </w:r>
      <w:r w:rsidR="009442AB">
        <w:t xml:space="preserve"> their right to be identified must be recognised; participants, guardians or “responsible others” can waive the right to anonymity (BERA, 2011, p7). </w:t>
      </w:r>
      <w:r w:rsidR="000058A6">
        <w:t>Through the utilisation of the n</w:t>
      </w:r>
      <w:r w:rsidR="000058A6" w:rsidRPr="00F47457">
        <w:t xml:space="preserve">egotiated </w:t>
      </w:r>
      <w:r w:rsidR="000058A6">
        <w:t>p</w:t>
      </w:r>
      <w:r w:rsidR="000058A6" w:rsidRPr="00F47457">
        <w:t>rocess</w:t>
      </w:r>
      <w:r w:rsidR="000058A6">
        <w:t xml:space="preserve"> it became apparent that t</w:t>
      </w:r>
      <w:r w:rsidR="000058A6" w:rsidRPr="00F47457">
        <w:t>he school w</w:t>
      </w:r>
      <w:r w:rsidR="000058A6">
        <w:t>as</w:t>
      </w:r>
      <w:r w:rsidR="000058A6" w:rsidRPr="00F47457">
        <w:t xml:space="preserve"> resolute in </w:t>
      </w:r>
      <w:r w:rsidR="000058A6">
        <w:t>its</w:t>
      </w:r>
      <w:r w:rsidR="000058A6" w:rsidRPr="00F47457">
        <w:t xml:space="preserve"> desire to be named in the research study</w:t>
      </w:r>
      <w:r w:rsidR="000058A6">
        <w:t>. The guidelines also state that “in some contexts</w:t>
      </w:r>
      <w:r w:rsidR="000058A6" w:rsidRPr="00615297">
        <w:t xml:space="preserve"> </w:t>
      </w:r>
      <w:r w:rsidR="000058A6" w:rsidRPr="00B5017E">
        <w:t>it will be the expectation of participants to be so identified” (</w:t>
      </w:r>
      <w:r w:rsidR="000058A6">
        <w:t>ibid</w:t>
      </w:r>
      <w:r w:rsidR="000058A6" w:rsidRPr="00B5017E">
        <w:t xml:space="preserve"> p7)</w:t>
      </w:r>
      <w:r w:rsidR="000058A6">
        <w:t xml:space="preserve">. However, there is a note of caution that age or vulnerability may cause comprehension constraints. In such cases, it states that </w:t>
      </w:r>
      <w:r w:rsidR="000058A6" w:rsidRPr="00B5017E">
        <w:t xml:space="preserve">researchers must </w:t>
      </w:r>
      <w:r w:rsidR="000058A6">
        <w:t>work collaboratively and gain the approval of</w:t>
      </w:r>
      <w:r w:rsidR="000058A6" w:rsidRPr="00B5017E">
        <w:t xml:space="preserve"> ‘responsible others’ (</w:t>
      </w:r>
      <w:r w:rsidR="000058A6">
        <w:t>ibid</w:t>
      </w:r>
      <w:r w:rsidR="000058A6" w:rsidRPr="00B5017E">
        <w:t xml:space="preserve"> p6-7)</w:t>
      </w:r>
      <w:r w:rsidR="000058A6">
        <w:t xml:space="preserve">. There is room in this guideline to interpret the school as a ‘responsible other’. </w:t>
      </w:r>
    </w:p>
    <w:p w14:paraId="60657EF7" w14:textId="65BE0484" w:rsidR="000E3885" w:rsidRPr="001C3028" w:rsidRDefault="003B3F66" w:rsidP="004E69EE">
      <w:pPr>
        <w:pStyle w:val="NormalWeb"/>
        <w:spacing w:line="360" w:lineRule="auto"/>
        <w:jc w:val="both"/>
      </w:pPr>
      <w:r>
        <w:t xml:space="preserve">After </w:t>
      </w:r>
      <w:r w:rsidR="001C3028">
        <w:t xml:space="preserve">lengthy </w:t>
      </w:r>
      <w:r>
        <w:t>consideration</w:t>
      </w:r>
      <w:r>
        <w:t xml:space="preserve"> of the school’s argument about</w:t>
      </w:r>
      <w:r w:rsidR="000058A6">
        <w:t xml:space="preserve"> </w:t>
      </w:r>
      <w:r w:rsidR="000058A6">
        <w:t>children</w:t>
      </w:r>
      <w:r w:rsidR="001C3028">
        <w:t xml:space="preserve"> and parents’</w:t>
      </w:r>
      <w:r w:rsidR="000058A6">
        <w:t xml:space="preserve"> </w:t>
      </w:r>
      <w:r w:rsidR="000058A6">
        <w:t xml:space="preserve">right to their identity </w:t>
      </w:r>
      <w:r w:rsidR="001C3028">
        <w:t xml:space="preserve">in conjunction with a reflection on the UN Guidelines on the Convention on the rights of the Child 1989 (particularly </w:t>
      </w:r>
      <w:r w:rsidR="001C3028" w:rsidRPr="00197EDE">
        <w:t>article</w:t>
      </w:r>
      <w:r w:rsidR="001C3028">
        <w:t>s</w:t>
      </w:r>
      <w:r w:rsidR="001C3028" w:rsidRPr="00197EDE">
        <w:t xml:space="preserve"> </w:t>
      </w:r>
      <w:r w:rsidR="001C3028">
        <w:t>relating to the</w:t>
      </w:r>
      <w:r w:rsidR="001C3028" w:rsidRPr="00197EDE">
        <w:t xml:space="preserve"> ‘Preservation of Identity’, ‘The Child’s right to an Opinion’,</w:t>
      </w:r>
      <w:r w:rsidR="001C3028">
        <w:t xml:space="preserve"> </w:t>
      </w:r>
      <w:r w:rsidR="001C3028" w:rsidRPr="00197EDE">
        <w:t>‘Children of Minorities or Indigenous People’</w:t>
      </w:r>
      <w:r w:rsidR="001C3028">
        <w:t xml:space="preserve">, </w:t>
      </w:r>
      <w:r w:rsidR="001C3028" w:rsidRPr="00197EDE">
        <w:t>and ‘Other forms of Exploitation’</w:t>
      </w:r>
      <w:r w:rsidR="001C3028">
        <w:t xml:space="preserve">) </w:t>
      </w:r>
      <w:r w:rsidR="000058A6">
        <w:t>the researcher made a reflective</w:t>
      </w:r>
      <w:r w:rsidR="001C3028">
        <w:t>,</w:t>
      </w:r>
      <w:r w:rsidR="000058A6">
        <w:t xml:space="preserve"> </w:t>
      </w:r>
      <w:r w:rsidR="001C3028">
        <w:t xml:space="preserve">culturally </w:t>
      </w:r>
      <w:r w:rsidR="000058A6">
        <w:t xml:space="preserve">situated judgment to </w:t>
      </w:r>
      <w:r>
        <w:t>agree</w:t>
      </w:r>
      <w:r w:rsidRPr="00F47457">
        <w:t xml:space="preserve"> </w:t>
      </w:r>
      <w:r w:rsidR="000058A6" w:rsidRPr="00F47457">
        <w:t xml:space="preserve">to offer all participants the choice to </w:t>
      </w:r>
      <w:r w:rsidR="001C3028" w:rsidRPr="00F47457">
        <w:t>make an informed decision</w:t>
      </w:r>
      <w:r w:rsidR="001C3028">
        <w:t xml:space="preserve"> (</w:t>
      </w:r>
      <w:r w:rsidR="001C3028" w:rsidRPr="00F47457">
        <w:t>in consultation with the school and teachers</w:t>
      </w:r>
      <w:r w:rsidR="001C3028">
        <w:t>)</w:t>
      </w:r>
      <w:r w:rsidR="001C3028" w:rsidRPr="00F47457">
        <w:t xml:space="preserve"> </w:t>
      </w:r>
      <w:r w:rsidR="000058A6" w:rsidRPr="00F47457">
        <w:t>be identified or to remain anonymous</w:t>
      </w:r>
      <w:r>
        <w:t>.</w:t>
      </w:r>
      <w:r>
        <w:t xml:space="preserve"> </w:t>
      </w:r>
      <w:r>
        <w:t xml:space="preserve">This resulted in a resubmission for ethical approval from the Maynooth </w:t>
      </w:r>
      <w:r w:rsidRPr="00F47457">
        <w:t>University Ethics Committee</w:t>
      </w:r>
      <w:r w:rsidR="003C183F">
        <w:t>,</w:t>
      </w:r>
      <w:r w:rsidR="001C3028">
        <w:t xml:space="preserve"> which </w:t>
      </w:r>
      <w:r w:rsidR="000E3885">
        <w:t>was g</w:t>
      </w:r>
      <w:r w:rsidR="000E3885" w:rsidRPr="00F47457">
        <w:t>ranted.</w:t>
      </w:r>
      <w:r w:rsidR="000E3885">
        <w:t xml:space="preserve"> </w:t>
      </w:r>
    </w:p>
    <w:p w14:paraId="6C9851A2" w14:textId="77777777" w:rsidR="00AA442B" w:rsidRDefault="00AA442B" w:rsidP="004E69EE">
      <w:pPr>
        <w:pStyle w:val="NormalWeb"/>
        <w:spacing w:line="360" w:lineRule="auto"/>
        <w:jc w:val="both"/>
      </w:pPr>
    </w:p>
    <w:p w14:paraId="2A809C14" w14:textId="77777777" w:rsidR="000E3885" w:rsidRPr="005A4B57" w:rsidRDefault="000E3885" w:rsidP="005A4B57">
      <w:pPr>
        <w:pStyle w:val="NormalWeb"/>
        <w:spacing w:line="360" w:lineRule="auto"/>
        <w:jc w:val="center"/>
        <w:rPr>
          <w:b/>
        </w:rPr>
      </w:pPr>
      <w:r w:rsidRPr="005A4B57">
        <w:rPr>
          <w:b/>
        </w:rPr>
        <w:t>In Conclusion:</w:t>
      </w:r>
    </w:p>
    <w:p w14:paraId="4D01DFE7" w14:textId="39D68D36" w:rsidR="00550FF4" w:rsidRDefault="000E3885" w:rsidP="004E69EE">
      <w:pPr>
        <w:pStyle w:val="NormalWeb"/>
        <w:spacing w:line="360" w:lineRule="auto"/>
        <w:jc w:val="both"/>
      </w:pPr>
      <w:r>
        <w:t>The argument is</w:t>
      </w:r>
      <w:r w:rsidR="00197EDE">
        <w:t xml:space="preserve"> made that</w:t>
      </w:r>
      <w:r>
        <w:t xml:space="preserve"> </w:t>
      </w:r>
      <w:r w:rsidR="00197EDE">
        <w:t>the BERA guidelines could be actively interpreted by educational researchers (along with</w:t>
      </w:r>
      <w:r>
        <w:t xml:space="preserve"> </w:t>
      </w:r>
      <w:r w:rsidR="00824A1D">
        <w:t>a negotiated approach with local stakeholders</w:t>
      </w:r>
      <w:r w:rsidR="00197EDE">
        <w:t>)</w:t>
      </w:r>
      <w:r w:rsidR="00824A1D">
        <w:t xml:space="preserve"> to mak</w:t>
      </w:r>
      <w:r w:rsidR="00197EDE">
        <w:t>e</w:t>
      </w:r>
      <w:r w:rsidR="00824A1D">
        <w:t xml:space="preserve"> consider</w:t>
      </w:r>
      <w:r w:rsidR="00197EDE">
        <w:t>ed</w:t>
      </w:r>
      <w:r w:rsidR="001C3028">
        <w:t xml:space="preserve"> </w:t>
      </w:r>
      <w:r w:rsidR="00824A1D">
        <w:t xml:space="preserve">and responsive ethical judgements in the field. It is through this process of careful </w:t>
      </w:r>
      <w:r w:rsidR="00197EDE">
        <w:t xml:space="preserve">interpretation </w:t>
      </w:r>
      <w:r w:rsidR="00824A1D">
        <w:t>considerat</w:t>
      </w:r>
      <w:r w:rsidR="00E6742A">
        <w:t xml:space="preserve">e of local, situated knowledge </w:t>
      </w:r>
      <w:r w:rsidR="00824A1D">
        <w:t>that open</w:t>
      </w:r>
      <w:r w:rsidR="00197EDE">
        <w:t>s the possibility of</w:t>
      </w:r>
      <w:r w:rsidR="00824A1D">
        <w:t xml:space="preserve"> a</w:t>
      </w:r>
      <w:r>
        <w:t xml:space="preserve"> </w:t>
      </w:r>
      <w:r w:rsidR="00E6742A">
        <w:t xml:space="preserve">space that facilitates and </w:t>
      </w:r>
      <w:r w:rsidR="00E6742A">
        <w:lastRenderedPageBreak/>
        <w:t>respects other forms of knowledge and ethical values</w:t>
      </w:r>
      <w:r w:rsidR="00241705">
        <w:t xml:space="preserve"> offering</w:t>
      </w:r>
      <w:r w:rsidR="003E108A">
        <w:t xml:space="preserve"> further</w:t>
      </w:r>
      <w:r w:rsidR="00241705">
        <w:t xml:space="preserve"> opportunities for educational research.</w:t>
      </w:r>
    </w:p>
    <w:p w14:paraId="76F4207D" w14:textId="0E8F4D61" w:rsidR="008B3E71" w:rsidRDefault="008B3E71" w:rsidP="004E69EE">
      <w:pPr>
        <w:pStyle w:val="NormalWeb"/>
        <w:spacing w:line="360" w:lineRule="auto"/>
        <w:jc w:val="both"/>
      </w:pPr>
    </w:p>
    <w:p w14:paraId="2A98405B" w14:textId="2DE9ACCA" w:rsidR="008B3E71" w:rsidRDefault="008B3E71" w:rsidP="004E69EE">
      <w:pPr>
        <w:pStyle w:val="NormalWeb"/>
        <w:spacing w:line="360" w:lineRule="auto"/>
        <w:jc w:val="both"/>
      </w:pPr>
    </w:p>
    <w:p w14:paraId="78969107" w14:textId="4346BCF8" w:rsidR="008B3E71" w:rsidRDefault="008B3E71" w:rsidP="004E69EE">
      <w:pPr>
        <w:pStyle w:val="NormalWeb"/>
        <w:spacing w:line="360" w:lineRule="auto"/>
        <w:jc w:val="both"/>
      </w:pPr>
    </w:p>
    <w:p w14:paraId="0BCC40A7" w14:textId="35D8EFE1" w:rsidR="008B3E71" w:rsidRDefault="008B3E71" w:rsidP="004E69EE">
      <w:pPr>
        <w:pStyle w:val="NormalWeb"/>
        <w:spacing w:line="360" w:lineRule="auto"/>
        <w:jc w:val="both"/>
      </w:pPr>
    </w:p>
    <w:p w14:paraId="5E7760D4" w14:textId="24CA99E8" w:rsidR="008B3E71" w:rsidRDefault="008B3E71" w:rsidP="004E69EE">
      <w:pPr>
        <w:pStyle w:val="NormalWeb"/>
        <w:spacing w:line="360" w:lineRule="auto"/>
        <w:jc w:val="both"/>
      </w:pPr>
    </w:p>
    <w:p w14:paraId="0B7F1A8C" w14:textId="262A285B" w:rsidR="008B3E71" w:rsidRDefault="008B3E71" w:rsidP="004E69EE">
      <w:pPr>
        <w:pStyle w:val="NormalWeb"/>
        <w:spacing w:line="360" w:lineRule="auto"/>
        <w:jc w:val="both"/>
      </w:pPr>
    </w:p>
    <w:p w14:paraId="3A5AE714" w14:textId="4C5FB0B3" w:rsidR="008B3E71" w:rsidRDefault="008B3E71" w:rsidP="004E69EE">
      <w:pPr>
        <w:pStyle w:val="NormalWeb"/>
        <w:spacing w:line="360" w:lineRule="auto"/>
        <w:jc w:val="both"/>
      </w:pPr>
    </w:p>
    <w:p w14:paraId="0E0A92FB" w14:textId="46B55364" w:rsidR="008B3E71" w:rsidRDefault="008B3E71" w:rsidP="004E69EE">
      <w:pPr>
        <w:pStyle w:val="NormalWeb"/>
        <w:spacing w:line="360" w:lineRule="auto"/>
        <w:jc w:val="both"/>
      </w:pPr>
    </w:p>
    <w:p w14:paraId="354D039D" w14:textId="6690612B" w:rsidR="008B3E71" w:rsidRDefault="008B3E71" w:rsidP="004E69EE">
      <w:pPr>
        <w:pStyle w:val="NormalWeb"/>
        <w:spacing w:line="360" w:lineRule="auto"/>
        <w:jc w:val="both"/>
      </w:pPr>
    </w:p>
    <w:p w14:paraId="4BECA53B" w14:textId="508BB6E1" w:rsidR="008B3E71" w:rsidRDefault="008B3E71" w:rsidP="004E69EE">
      <w:pPr>
        <w:pStyle w:val="NormalWeb"/>
        <w:spacing w:line="360" w:lineRule="auto"/>
        <w:jc w:val="both"/>
      </w:pPr>
    </w:p>
    <w:p w14:paraId="1AF3A58A" w14:textId="102263C5" w:rsidR="008B3E71" w:rsidRDefault="008B3E71" w:rsidP="004E69EE">
      <w:pPr>
        <w:pStyle w:val="NormalWeb"/>
        <w:spacing w:line="360" w:lineRule="auto"/>
        <w:jc w:val="both"/>
      </w:pPr>
    </w:p>
    <w:p w14:paraId="125A3EBB" w14:textId="2B254E52" w:rsidR="008B3E71" w:rsidRDefault="008B3E71" w:rsidP="004E69EE">
      <w:pPr>
        <w:pStyle w:val="NormalWeb"/>
        <w:spacing w:line="360" w:lineRule="auto"/>
        <w:jc w:val="both"/>
      </w:pPr>
    </w:p>
    <w:p w14:paraId="513A7714" w14:textId="4AF72B8F" w:rsidR="008B3E71" w:rsidRDefault="008B3E71" w:rsidP="004E69EE">
      <w:pPr>
        <w:pStyle w:val="NormalWeb"/>
        <w:spacing w:line="360" w:lineRule="auto"/>
        <w:jc w:val="both"/>
      </w:pPr>
    </w:p>
    <w:p w14:paraId="074ED901" w14:textId="76E7BCD9" w:rsidR="008B3E71" w:rsidRDefault="008B3E71" w:rsidP="004E69EE">
      <w:pPr>
        <w:pStyle w:val="NormalWeb"/>
        <w:spacing w:line="360" w:lineRule="auto"/>
        <w:jc w:val="both"/>
      </w:pPr>
    </w:p>
    <w:p w14:paraId="3344C798" w14:textId="70A9E84F" w:rsidR="008B3E71" w:rsidRDefault="008B3E71" w:rsidP="004E69EE">
      <w:pPr>
        <w:pStyle w:val="NormalWeb"/>
        <w:spacing w:line="360" w:lineRule="auto"/>
        <w:jc w:val="both"/>
      </w:pPr>
    </w:p>
    <w:p w14:paraId="695FE5C1" w14:textId="1EFDFF7F" w:rsidR="008B3E71" w:rsidRDefault="008B3E71" w:rsidP="004E69EE">
      <w:pPr>
        <w:pStyle w:val="NormalWeb"/>
        <w:spacing w:line="360" w:lineRule="auto"/>
        <w:jc w:val="both"/>
      </w:pPr>
    </w:p>
    <w:p w14:paraId="113F7193" w14:textId="77777777" w:rsidR="008B3E71" w:rsidRPr="005870FA" w:rsidRDefault="008B3E71" w:rsidP="004E69EE">
      <w:pPr>
        <w:pStyle w:val="NormalWeb"/>
        <w:spacing w:line="360" w:lineRule="auto"/>
        <w:jc w:val="both"/>
      </w:pPr>
    </w:p>
    <w:sdt>
      <w:sdtPr>
        <w:rPr>
          <w:rFonts w:asciiTheme="minorHAnsi" w:eastAsiaTheme="minorHAnsi" w:hAnsiTheme="minorHAnsi" w:cstheme="minorBidi"/>
          <w:color w:val="auto"/>
          <w:sz w:val="22"/>
          <w:szCs w:val="22"/>
          <w:lang w:val="en-IE"/>
        </w:rPr>
        <w:id w:val="-573587230"/>
        <w:bibliography/>
      </w:sdtPr>
      <w:sdtEndPr/>
      <w:sdtContent>
        <w:sdt>
          <w:sdtPr>
            <w:rPr>
              <w:rFonts w:asciiTheme="minorHAnsi" w:eastAsiaTheme="minorHAnsi" w:hAnsiTheme="minorHAnsi" w:cstheme="minorBidi"/>
              <w:color w:val="auto"/>
              <w:sz w:val="22"/>
              <w:szCs w:val="22"/>
              <w:lang w:val="en-IE"/>
            </w:rPr>
            <w:id w:val="-1011677314"/>
            <w:docPartObj>
              <w:docPartGallery w:val="Bibliographies"/>
              <w:docPartUnique/>
            </w:docPartObj>
          </w:sdtPr>
          <w:sdtEndPr/>
          <w:sdtContent>
            <w:p w14:paraId="5BF76CE5" w14:textId="77777777" w:rsidR="00550FF4" w:rsidRDefault="00550FF4" w:rsidP="00550FF4">
              <w:pPr>
                <w:pStyle w:val="Heading1"/>
              </w:pPr>
            </w:p>
            <w:sdt>
              <w:sdtPr>
                <w:rPr>
                  <w:rFonts w:asciiTheme="minorHAnsi" w:eastAsiaTheme="minorHAnsi" w:hAnsiTheme="minorHAnsi" w:cstheme="minorBidi"/>
                  <w:color w:val="auto"/>
                  <w:sz w:val="22"/>
                  <w:szCs w:val="22"/>
                  <w:lang w:val="en-IE"/>
                </w:rPr>
                <w:id w:val="1790769141"/>
                <w:docPartObj>
                  <w:docPartGallery w:val="Bibliographies"/>
                  <w:docPartUnique/>
                </w:docPartObj>
              </w:sdtPr>
              <w:sdtEndPr/>
              <w:sdtContent>
                <w:p w14:paraId="3E196E13" w14:textId="77777777" w:rsidR="00550FF4" w:rsidRDefault="00550FF4">
                  <w:pPr>
                    <w:pStyle w:val="Heading1"/>
                  </w:pPr>
                  <w:r>
                    <w:t>References</w:t>
                  </w:r>
                </w:p>
                <w:sdt>
                  <w:sdtPr>
                    <w:id w:val="815152036"/>
                    <w:bibliography/>
                  </w:sdtPr>
                  <w:sdtEndPr/>
                  <w:sdtContent>
                    <w:p w14:paraId="4D29657B" w14:textId="3A4F80C7" w:rsidR="008B3E71" w:rsidRPr="008B3E71" w:rsidRDefault="008B3E71" w:rsidP="00550FF4">
                      <w:pPr>
                        <w:pStyle w:val="Bibliography"/>
                      </w:pPr>
                      <w:r>
                        <w:t xml:space="preserve">Albon, D, and Mukherji, P., 2010. </w:t>
                      </w:r>
                      <w:r>
                        <w:rPr>
                          <w:i/>
                        </w:rPr>
                        <w:t xml:space="preserve">Research Methods in Early Childhood – An Introductory Guide. </w:t>
                      </w:r>
                      <w:r>
                        <w:t>1</w:t>
                      </w:r>
                      <w:r w:rsidRPr="008B3E71">
                        <w:rPr>
                          <w:vertAlign w:val="superscript"/>
                        </w:rPr>
                        <w:t>st</w:t>
                      </w:r>
                      <w:r>
                        <w:t xml:space="preserve"> ed. London: Sage Publications</w:t>
                      </w:r>
                    </w:p>
                    <w:p w14:paraId="60EF05ED" w14:textId="49F4BDFD" w:rsidR="00BA1941" w:rsidRDefault="00BA1941" w:rsidP="00550FF4">
                      <w:pPr>
                        <w:pStyle w:val="Bibliography"/>
                      </w:pPr>
                      <w:r w:rsidRPr="00BA1941">
                        <w:t>Alderson, P. and Morrow, V.</w:t>
                      </w:r>
                      <w:r w:rsidR="00EC3D7F">
                        <w:t xml:space="preserve">, </w:t>
                      </w:r>
                      <w:r w:rsidRPr="00BA1941">
                        <w:t>2011</w:t>
                      </w:r>
                      <w:r w:rsidR="00EC3D7F">
                        <w:t>.</w:t>
                      </w:r>
                      <w:r w:rsidRPr="00BA1941">
                        <w:t> </w:t>
                      </w:r>
                      <w:r w:rsidRPr="00BA1941">
                        <w:rPr>
                          <w:i/>
                          <w:iCs/>
                        </w:rPr>
                        <w:t>The ethics of research with children and young people: A practical handbook</w:t>
                      </w:r>
                      <w:r w:rsidRPr="00BA1941">
                        <w:t>. (2nd ed). London: SAGE Publications.</w:t>
                      </w:r>
                    </w:p>
                    <w:p w14:paraId="76AE42E6" w14:textId="16D0F357" w:rsidR="00EF2C9C" w:rsidRPr="00C4690E" w:rsidRDefault="00EF2C9C" w:rsidP="00550FF4">
                      <w:pPr>
                        <w:pStyle w:val="Bibliography"/>
                      </w:pPr>
                      <w:r>
                        <w:t xml:space="preserve">Bevan, B., Gutwill, J.P., </w:t>
                      </w:r>
                      <w:r w:rsidR="00891C68">
                        <w:t>Petrich, M.</w:t>
                      </w:r>
                      <w:r w:rsidR="00C4690E">
                        <w:t>, and Wilkinson, K., 201</w:t>
                      </w:r>
                      <w:r w:rsidR="00003795">
                        <w:t>5</w:t>
                      </w:r>
                      <w:r w:rsidR="00C4690E">
                        <w:t xml:space="preserve">. Learning Through STEM-Rich Tinkering: Findings From a Jointly Negotiated Research Project Taken Up in Practice. </w:t>
                      </w:r>
                      <w:r w:rsidR="00C4690E">
                        <w:rPr>
                          <w:i/>
                        </w:rPr>
                        <w:t>Science Education</w:t>
                      </w:r>
                      <w:r w:rsidR="00C4690E">
                        <w:t xml:space="preserve"> (Salem, Mass.), Vol 99. Issue 1, pp 98-120.</w:t>
                      </w:r>
                    </w:p>
                    <w:p w14:paraId="70A0A36B" w14:textId="6BB76BC5" w:rsidR="00550FF4" w:rsidRDefault="00550FF4" w:rsidP="00550FF4">
                      <w:pPr>
                        <w:pStyle w:val="Bibliography"/>
                        <w:rPr>
                          <w:noProof/>
                          <w:sz w:val="24"/>
                          <w:szCs w:val="24"/>
                          <w:lang w:val="en-US"/>
                        </w:rPr>
                      </w:pPr>
                      <w:r>
                        <w:fldChar w:fldCharType="begin"/>
                      </w:r>
                      <w:r>
                        <w:instrText xml:space="preserve"> BIBLIOGRAPHY </w:instrText>
                      </w:r>
                      <w:r>
                        <w:fldChar w:fldCharType="separate"/>
                      </w:r>
                      <w:r>
                        <w:rPr>
                          <w:noProof/>
                          <w:lang w:val="en-US"/>
                        </w:rPr>
                        <w:t xml:space="preserve">British Educational Research Association, 2011. </w:t>
                      </w:r>
                      <w:r>
                        <w:rPr>
                          <w:i/>
                          <w:iCs/>
                          <w:noProof/>
                          <w:lang w:val="en-US"/>
                        </w:rPr>
                        <w:t xml:space="preserve">www.bera.ac.uk. </w:t>
                      </w:r>
                      <w:r>
                        <w:rPr>
                          <w:noProof/>
                          <w:lang w:val="en-US"/>
                        </w:rPr>
                        <w:t xml:space="preserve">[Online] </w:t>
                      </w:r>
                      <w:r>
                        <w:rPr>
                          <w:noProof/>
                          <w:lang w:val="en-US"/>
                        </w:rPr>
                        <w:br/>
                        <w:t xml:space="preserve">Available at: </w:t>
                      </w:r>
                      <w:r>
                        <w:rPr>
                          <w:noProof/>
                          <w:u w:val="single"/>
                          <w:lang w:val="en-US"/>
                        </w:rPr>
                        <w:t>https://www.bera.ac.uk/researchers-resources/publications/bera-ethical-guidelines-for-educational-research-2011</w:t>
                      </w:r>
                      <w:r>
                        <w:rPr>
                          <w:noProof/>
                          <w:lang w:val="en-US"/>
                        </w:rPr>
                        <w:br/>
                        <w:t>[Accessed 10th December 2017].</w:t>
                      </w:r>
                    </w:p>
                    <w:p w14:paraId="5DAA3BE0" w14:textId="6DF55221" w:rsidR="00550FF4" w:rsidRDefault="00550FF4" w:rsidP="00550FF4">
                      <w:pPr>
                        <w:pStyle w:val="Bibliography"/>
                        <w:rPr>
                          <w:noProof/>
                          <w:lang w:val="en-US"/>
                        </w:rPr>
                      </w:pPr>
                      <w:r>
                        <w:rPr>
                          <w:noProof/>
                          <w:lang w:val="en-US"/>
                        </w:rPr>
                        <w:t xml:space="preserve">Clark, A. </w:t>
                      </w:r>
                      <w:r w:rsidR="00845DBD">
                        <w:rPr>
                          <w:noProof/>
                          <w:lang w:val="en-US"/>
                        </w:rPr>
                        <w:t xml:space="preserve">and </w:t>
                      </w:r>
                      <w:r>
                        <w:rPr>
                          <w:noProof/>
                          <w:lang w:val="en-US"/>
                        </w:rPr>
                        <w:t>M</w:t>
                      </w:r>
                      <w:r w:rsidR="00845DBD">
                        <w:rPr>
                          <w:noProof/>
                          <w:lang w:val="en-US"/>
                        </w:rPr>
                        <w:t>oss</w:t>
                      </w:r>
                      <w:r>
                        <w:rPr>
                          <w:noProof/>
                          <w:lang w:val="en-US"/>
                        </w:rPr>
                        <w:t xml:space="preserve">. P., 2011. </w:t>
                      </w:r>
                      <w:r>
                        <w:rPr>
                          <w:i/>
                          <w:iCs/>
                          <w:noProof/>
                          <w:lang w:val="en-US"/>
                        </w:rPr>
                        <w:t xml:space="preserve">Listening to young children: the mosaic approach. </w:t>
                      </w:r>
                      <w:r>
                        <w:rPr>
                          <w:noProof/>
                          <w:lang w:val="en-US"/>
                        </w:rPr>
                        <w:t>Second ed. London: Jessica Kingsley Publishers.</w:t>
                      </w:r>
                    </w:p>
                    <w:p w14:paraId="775CB6B8" w14:textId="3F77CEA2" w:rsidR="00BA1941" w:rsidRPr="00BA1941" w:rsidRDefault="00BA1941" w:rsidP="00BA1941">
                      <w:r w:rsidRPr="00BA1941">
                        <w:t>Greene, S. 2012</w:t>
                      </w:r>
                      <w:r w:rsidR="00EC3D7F">
                        <w:t xml:space="preserve">. </w:t>
                      </w:r>
                      <w:r w:rsidRPr="00BA1941">
                        <w:t>Child psychology: Taking account of children at last?” </w:t>
                      </w:r>
                      <w:r w:rsidRPr="00BA1941">
                        <w:rPr>
                          <w:i/>
                          <w:iCs/>
                        </w:rPr>
                        <w:t>The Irish Journal of Psychology</w:t>
                      </w:r>
                      <w:r w:rsidRPr="00BA1941">
                        <w:t>, 27(1-2), pp. 8–15. doi: 10.1080/03033910.2006.10446223.</w:t>
                      </w:r>
                    </w:p>
                    <w:p w14:paraId="04FC2979" w14:textId="51BCCD1E" w:rsidR="00B17CC1" w:rsidRDefault="00B17CC1" w:rsidP="00B17CC1">
                      <w:pPr>
                        <w:rPr>
                          <w:lang w:val="en-US"/>
                        </w:rPr>
                      </w:pPr>
                      <w:r>
                        <w:rPr>
                          <w:lang w:val="en-US"/>
                        </w:rPr>
                        <w:t xml:space="preserve">Grout, G., 2004. </w:t>
                      </w:r>
                      <w:r w:rsidRPr="00B17CC1">
                        <w:rPr>
                          <w:lang w:val="en-US"/>
                        </w:rPr>
                        <w:t xml:space="preserve">Using Negotiated Consent in Research and Practice. </w:t>
                      </w:r>
                      <w:r w:rsidRPr="00B17CC1">
                        <w:rPr>
                          <w:i/>
                          <w:lang w:val="en-US"/>
                        </w:rPr>
                        <w:t>Nursing Older People</w:t>
                      </w:r>
                      <w:r>
                        <w:rPr>
                          <w:i/>
                          <w:lang w:val="en-US"/>
                        </w:rPr>
                        <w:t xml:space="preserve">, </w:t>
                      </w:r>
                      <w:r>
                        <w:rPr>
                          <w:lang w:val="en-US"/>
                        </w:rPr>
                        <w:t>Vol 16. Issue 4, p18-20.</w:t>
                      </w:r>
                    </w:p>
                    <w:p w14:paraId="5315E36B" w14:textId="6B0FEF1C" w:rsidR="004A2458" w:rsidRPr="004A2458" w:rsidRDefault="004A2458" w:rsidP="00B17CC1">
                      <w:r w:rsidRPr="004A2458">
                        <w:t>Gupta, A.</w:t>
                      </w:r>
                      <w:r>
                        <w:t xml:space="preserve">, </w:t>
                      </w:r>
                      <w:r w:rsidRPr="004A2458">
                        <w:t>2011</w:t>
                      </w:r>
                      <w:r>
                        <w:t xml:space="preserve">. </w:t>
                      </w:r>
                      <w:r w:rsidRPr="004A2458">
                        <w:t xml:space="preserve">Play and pedagogy framed within India’s historical, </w:t>
                      </w:r>
                      <w:r w:rsidR="00891C68" w:rsidRPr="004A2458">
                        <w:t>socio-cultural,</w:t>
                      </w:r>
                      <w:r w:rsidRPr="004A2458">
                        <w:t xml:space="preserve"> and pedagogical context. In S. Rogers (Ed.) </w:t>
                      </w:r>
                      <w:r w:rsidRPr="004A2458">
                        <w:rPr>
                          <w:i/>
                        </w:rPr>
                        <w:t xml:space="preserve">Rethinking Play and Pedagogy in Early Childhood Education: Concepts, Contexts and Cultures, </w:t>
                      </w:r>
                      <w:r w:rsidRPr="004A2458">
                        <w:t>Oxford, UK: Routledge, pp.86-99.</w:t>
                      </w:r>
                    </w:p>
                    <w:p w14:paraId="66C7F1E4" w14:textId="497408F1" w:rsidR="00550FF4" w:rsidRDefault="00550FF4" w:rsidP="00550FF4">
                      <w:pPr>
                        <w:pStyle w:val="Bibliography"/>
                        <w:rPr>
                          <w:noProof/>
                          <w:lang w:val="en-US"/>
                        </w:rPr>
                      </w:pPr>
                      <w:r>
                        <w:rPr>
                          <w:noProof/>
                          <w:lang w:val="en-US"/>
                        </w:rPr>
                        <w:t xml:space="preserve">Gupta, A., 2013. </w:t>
                      </w:r>
                      <w:r>
                        <w:rPr>
                          <w:i/>
                          <w:iCs/>
                          <w:noProof/>
                          <w:lang w:val="en-US"/>
                        </w:rPr>
                        <w:t xml:space="preserve">Early Childhood Education, Postcolonial Theory, and Teaching Practices and Policies in India, Balancing Vygotsky and The Veda. </w:t>
                      </w:r>
                      <w:r>
                        <w:rPr>
                          <w:noProof/>
                          <w:lang w:val="en-US"/>
                        </w:rPr>
                        <w:t>Revised ed. New York: Palgrave Macmillan.</w:t>
                      </w:r>
                    </w:p>
                    <w:p w14:paraId="0387D79A" w14:textId="6C48F584" w:rsidR="00BA1941" w:rsidRPr="00BA1941" w:rsidRDefault="00BA1941" w:rsidP="00BA1941">
                      <w:r w:rsidRPr="00BA1941">
                        <w:t>Kellet, M. 2005</w:t>
                      </w:r>
                      <w:r w:rsidR="00EC3D7F">
                        <w:t xml:space="preserve">. </w:t>
                      </w:r>
                      <w:r w:rsidRPr="00BA1941">
                        <w:t>Children as active researchers: a new research paradigm for the 21st century</w:t>
                      </w:r>
                      <w:r w:rsidR="00EC3D7F">
                        <w:t>?</w:t>
                      </w:r>
                      <w:r w:rsidRPr="00BA1941">
                        <w:t xml:space="preserve"> Centre for Childhood, Development and Learning. The Open University: ESRC National Centre for Research Methods.</w:t>
                      </w:r>
                    </w:p>
                    <w:p w14:paraId="1F9798CA" w14:textId="31122F1D" w:rsidR="00550FF4" w:rsidRDefault="00550FF4" w:rsidP="00550FF4">
                      <w:pPr>
                        <w:pStyle w:val="Bibliography"/>
                        <w:rPr>
                          <w:noProof/>
                          <w:lang w:val="en-US"/>
                        </w:rPr>
                      </w:pPr>
                      <w:r>
                        <w:rPr>
                          <w:noProof/>
                          <w:lang w:val="en-US"/>
                        </w:rPr>
                        <w:t xml:space="preserve">Mortari, L. </w:t>
                      </w:r>
                      <w:r w:rsidR="00845DBD">
                        <w:rPr>
                          <w:noProof/>
                          <w:lang w:val="en-US"/>
                        </w:rPr>
                        <w:t>and</w:t>
                      </w:r>
                      <w:r>
                        <w:rPr>
                          <w:noProof/>
                          <w:lang w:val="en-US"/>
                        </w:rPr>
                        <w:t xml:space="preserve"> Harcourt, D., 2012. ‘Living’ethical dilemmas for researchers when researching with children. </w:t>
                      </w:r>
                      <w:r>
                        <w:rPr>
                          <w:i/>
                          <w:iCs/>
                          <w:noProof/>
                          <w:lang w:val="en-US"/>
                        </w:rPr>
                        <w:t xml:space="preserve">International Journal of Early Years Education, </w:t>
                      </w:r>
                      <w:r>
                        <w:rPr>
                          <w:noProof/>
                          <w:lang w:val="en-US"/>
                        </w:rPr>
                        <w:t>20(3), pp. 234-243.</w:t>
                      </w:r>
                    </w:p>
                    <w:p w14:paraId="15CD3283" w14:textId="77777777" w:rsidR="00550FF4" w:rsidRDefault="00550FF4" w:rsidP="00550FF4">
                      <w:pPr>
                        <w:pStyle w:val="Bibliography"/>
                        <w:rPr>
                          <w:noProof/>
                          <w:lang w:val="en-US"/>
                        </w:rPr>
                      </w:pPr>
                      <w:r>
                        <w:rPr>
                          <w:noProof/>
                          <w:lang w:val="en-US"/>
                        </w:rPr>
                        <w:t xml:space="preserve">Noddings, N., 2013. Moral Education. In: </w:t>
                      </w:r>
                      <w:r>
                        <w:rPr>
                          <w:i/>
                          <w:iCs/>
                          <w:noProof/>
                          <w:lang w:val="en-US"/>
                        </w:rPr>
                        <w:t xml:space="preserve">Caring : A Relational Approach to Ethics and Moral Education (2). </w:t>
                      </w:r>
                      <w:r>
                        <w:rPr>
                          <w:noProof/>
                          <w:lang w:val="en-US"/>
                        </w:rPr>
                        <w:t>Berkeley: University of California Press, pp. 171-201.</w:t>
                      </w:r>
                    </w:p>
                    <w:p w14:paraId="7C1776BF" w14:textId="21A6387D" w:rsidR="00550FF4" w:rsidRDefault="00550FF4" w:rsidP="00550FF4">
                      <w:pPr>
                        <w:pStyle w:val="Bibliography"/>
                        <w:rPr>
                          <w:noProof/>
                          <w:lang w:val="en-US"/>
                        </w:rPr>
                      </w:pPr>
                      <w:r>
                        <w:rPr>
                          <w:noProof/>
                          <w:lang w:val="en-US"/>
                        </w:rPr>
                        <w:t xml:space="preserve">Pitman, A., 2012. Professionalism and Professionalisation: Hostile Ground for Growing Phronesis. In: A. Pitman </w:t>
                      </w:r>
                      <w:r w:rsidR="00845DBD">
                        <w:rPr>
                          <w:noProof/>
                          <w:lang w:val="en-US"/>
                        </w:rPr>
                        <w:t>and</w:t>
                      </w:r>
                      <w:r>
                        <w:rPr>
                          <w:noProof/>
                          <w:lang w:val="en-US"/>
                        </w:rPr>
                        <w:t xml:space="preserve"> E. Kinsella, eds. </w:t>
                      </w:r>
                      <w:r>
                        <w:rPr>
                          <w:i/>
                          <w:iCs/>
                          <w:noProof/>
                          <w:lang w:val="en-US"/>
                        </w:rPr>
                        <w:t xml:space="preserve">Phronesis as Professional Knowledge : Practical Wisdom in the Professions. </w:t>
                      </w:r>
                      <w:r>
                        <w:rPr>
                          <w:noProof/>
                          <w:lang w:val="en-US"/>
                        </w:rPr>
                        <w:t>Rotterdam: Sense Publishers, pp. 131-146.</w:t>
                      </w:r>
                    </w:p>
                    <w:p w14:paraId="2B336F34" w14:textId="77777777" w:rsidR="00550FF4" w:rsidRDefault="00550FF4" w:rsidP="00550FF4">
                      <w:pPr>
                        <w:pStyle w:val="Bibliography"/>
                        <w:rPr>
                          <w:noProof/>
                          <w:lang w:val="en-US"/>
                        </w:rPr>
                      </w:pPr>
                      <w:r>
                        <w:rPr>
                          <w:noProof/>
                          <w:lang w:val="en-US"/>
                        </w:rPr>
                        <w:t xml:space="preserve">Skånfors, L., 2009. Ethics in child research: Children's agency and researchers' 'ethical radar'. </w:t>
                      </w:r>
                      <w:r>
                        <w:rPr>
                          <w:i/>
                          <w:iCs/>
                          <w:noProof/>
                          <w:lang w:val="en-US"/>
                        </w:rPr>
                        <w:t xml:space="preserve">Childhoods Today, </w:t>
                      </w:r>
                      <w:r>
                        <w:rPr>
                          <w:noProof/>
                          <w:lang w:val="en-US"/>
                        </w:rPr>
                        <w:t>3(1), pp. 1-22.</w:t>
                      </w:r>
                    </w:p>
                    <w:p w14:paraId="6F3DF46E" w14:textId="0E73F6DD" w:rsidR="00550FF4" w:rsidRDefault="00550FF4" w:rsidP="00550FF4">
                      <w:pPr>
                        <w:pStyle w:val="Bibliography"/>
                        <w:rPr>
                          <w:noProof/>
                          <w:lang w:val="en-US"/>
                        </w:rPr>
                      </w:pPr>
                      <w:r>
                        <w:rPr>
                          <w:noProof/>
                          <w:lang w:val="en-US"/>
                        </w:rPr>
                        <w:t xml:space="preserve">United Nations General Assembly, 1989. </w:t>
                      </w:r>
                      <w:r>
                        <w:rPr>
                          <w:i/>
                          <w:iCs/>
                          <w:noProof/>
                          <w:lang w:val="en-US"/>
                        </w:rPr>
                        <w:t xml:space="preserve">Convention on the Rights of the Child. </w:t>
                      </w:r>
                      <w:r>
                        <w:rPr>
                          <w:noProof/>
                          <w:lang w:val="en-US"/>
                        </w:rPr>
                        <w:t>s.l.:United Nations Treaties Series.</w:t>
                      </w:r>
                    </w:p>
                    <w:p w14:paraId="11D22DAB" w14:textId="7131D6D0" w:rsidR="00EC3D7F" w:rsidRPr="00EC3D7F" w:rsidRDefault="00EC3D7F" w:rsidP="00EC3D7F">
                      <w:r w:rsidRPr="00EC3D7F">
                        <w:lastRenderedPageBreak/>
                        <w:t>Viruru, R.</w:t>
                      </w:r>
                      <w:r>
                        <w:t>,</w:t>
                      </w:r>
                      <w:r w:rsidRPr="00EC3D7F">
                        <w:t>2005</w:t>
                      </w:r>
                      <w:r>
                        <w:t xml:space="preserve">. </w:t>
                      </w:r>
                      <w:r w:rsidRPr="00EC3D7F">
                        <w:t>The impact of postcolonial theory on early childhood education</w:t>
                      </w:r>
                      <w:r>
                        <w:t>.</w:t>
                      </w:r>
                      <w:r w:rsidRPr="00EC3D7F">
                        <w:t xml:space="preserve"> </w:t>
                      </w:r>
                      <w:r w:rsidRPr="00EC3D7F">
                        <w:rPr>
                          <w:i/>
                        </w:rPr>
                        <w:t>Journal of Education,</w:t>
                      </w:r>
                      <w:r w:rsidRPr="00EC3D7F">
                        <w:t xml:space="preserve"> No.35, pp.7-29</w:t>
                      </w:r>
                    </w:p>
                    <w:p w14:paraId="626E6F77" w14:textId="70DFB6FA" w:rsidR="00BA1941" w:rsidRPr="00BA1941" w:rsidRDefault="00BA1941" w:rsidP="00BA1941">
                      <w:r w:rsidRPr="00BA1941">
                        <w:t>W</w:t>
                      </w:r>
                      <w:r>
                        <w:t>oodhead</w:t>
                      </w:r>
                      <w:r w:rsidRPr="00BA1941">
                        <w:t>, M. 1999</w:t>
                      </w:r>
                      <w:r>
                        <w:t>.</w:t>
                      </w:r>
                      <w:r w:rsidRPr="00BA1941">
                        <w:t xml:space="preserve"> Combatting child labour: Listen to what the children say</w:t>
                      </w:r>
                      <w:r>
                        <w:t>.</w:t>
                      </w:r>
                      <w:r w:rsidRPr="00BA1941">
                        <w:t> </w:t>
                      </w:r>
                      <w:r w:rsidRPr="00BA1941">
                        <w:rPr>
                          <w:i/>
                          <w:iCs/>
                        </w:rPr>
                        <w:t>Childhood</w:t>
                      </w:r>
                      <w:r w:rsidRPr="00BA1941">
                        <w:t>, 6(1), pp. 27–49. doi: 10.1177/0907568299006001003.</w:t>
                      </w:r>
                    </w:p>
                    <w:p w14:paraId="43C6EDA3" w14:textId="3D0AC49F" w:rsidR="00BA1941" w:rsidRPr="008B3E71" w:rsidRDefault="008B3E71" w:rsidP="00BA1941">
                      <w:pPr>
                        <w:rPr>
                          <w:lang w:val="en-US"/>
                        </w:rPr>
                      </w:pPr>
                      <w:r>
                        <w:rPr>
                          <w:lang w:val="en-US"/>
                        </w:rPr>
                        <w:t xml:space="preserve">Yin, </w:t>
                      </w:r>
                      <w:r w:rsidR="00891C68">
                        <w:rPr>
                          <w:lang w:val="en-US"/>
                        </w:rPr>
                        <w:t>R, K.</w:t>
                      </w:r>
                      <w:r>
                        <w:rPr>
                          <w:lang w:val="en-US"/>
                        </w:rPr>
                        <w:t xml:space="preserve">, 1993. </w:t>
                      </w:r>
                      <w:r>
                        <w:rPr>
                          <w:i/>
                          <w:lang w:val="en-US"/>
                        </w:rPr>
                        <w:t xml:space="preserve">Applications of Case Study Research - Applied Social Research Methods Series </w:t>
                      </w:r>
                      <w:r>
                        <w:rPr>
                          <w:lang w:val="en-US"/>
                        </w:rPr>
                        <w:t>Volume 34. 1</w:t>
                      </w:r>
                      <w:r w:rsidRPr="008B3E71">
                        <w:rPr>
                          <w:vertAlign w:val="superscript"/>
                          <w:lang w:val="en-US"/>
                        </w:rPr>
                        <w:t>st</w:t>
                      </w:r>
                      <w:r>
                        <w:rPr>
                          <w:lang w:val="en-US"/>
                        </w:rPr>
                        <w:t xml:space="preserve"> Ed. California: SAGE Publications Inc.</w:t>
                      </w:r>
                    </w:p>
                    <w:p w14:paraId="36D7184C" w14:textId="77777777" w:rsidR="00550FF4" w:rsidRDefault="00550FF4" w:rsidP="00550FF4">
                      <w:r>
                        <w:rPr>
                          <w:b/>
                          <w:bCs/>
                          <w:noProof/>
                        </w:rPr>
                        <w:fldChar w:fldCharType="end"/>
                      </w:r>
                    </w:p>
                  </w:sdtContent>
                </w:sdt>
              </w:sdtContent>
            </w:sdt>
            <w:p w14:paraId="74CBEAA8" w14:textId="77777777" w:rsidR="000F4CF0" w:rsidRPr="00550FF4" w:rsidRDefault="006E1036" w:rsidP="00550FF4"/>
          </w:sdtContent>
        </w:sdt>
      </w:sdtContent>
    </w:sdt>
    <w:sectPr w:rsidR="000F4CF0" w:rsidRPr="00550F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988D" w14:textId="77777777" w:rsidR="006E1036" w:rsidRDefault="006E1036" w:rsidP="005A4B57">
      <w:pPr>
        <w:spacing w:after="0" w:line="240" w:lineRule="auto"/>
      </w:pPr>
      <w:r>
        <w:separator/>
      </w:r>
    </w:p>
  </w:endnote>
  <w:endnote w:type="continuationSeparator" w:id="0">
    <w:p w14:paraId="35F1675A" w14:textId="77777777" w:rsidR="006E1036" w:rsidRDefault="006E1036" w:rsidP="005A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872668"/>
      <w:docPartObj>
        <w:docPartGallery w:val="Page Numbers (Bottom of Page)"/>
        <w:docPartUnique/>
      </w:docPartObj>
    </w:sdtPr>
    <w:sdtEndPr>
      <w:rPr>
        <w:noProof/>
      </w:rPr>
    </w:sdtEndPr>
    <w:sdtContent>
      <w:p w14:paraId="57AC18B6" w14:textId="7914084F" w:rsidR="00634150" w:rsidRDefault="00634150">
        <w:pPr>
          <w:pStyle w:val="Footer"/>
          <w:jc w:val="right"/>
        </w:pPr>
        <w:r>
          <w:fldChar w:fldCharType="begin"/>
        </w:r>
        <w:r>
          <w:instrText xml:space="preserve"> PAGE   \* MERGEFORMAT </w:instrText>
        </w:r>
        <w:r>
          <w:fldChar w:fldCharType="separate"/>
        </w:r>
        <w:r w:rsidR="0004045A">
          <w:rPr>
            <w:noProof/>
          </w:rPr>
          <w:t>6</w:t>
        </w:r>
        <w:r>
          <w:rPr>
            <w:noProof/>
          </w:rPr>
          <w:fldChar w:fldCharType="end"/>
        </w:r>
      </w:p>
    </w:sdtContent>
  </w:sdt>
  <w:p w14:paraId="003CF089" w14:textId="77777777" w:rsidR="00634150" w:rsidRDefault="0063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FC023" w14:textId="77777777" w:rsidR="006E1036" w:rsidRDefault="006E1036" w:rsidP="005A4B57">
      <w:pPr>
        <w:spacing w:after="0" w:line="240" w:lineRule="auto"/>
      </w:pPr>
      <w:r>
        <w:separator/>
      </w:r>
    </w:p>
  </w:footnote>
  <w:footnote w:type="continuationSeparator" w:id="0">
    <w:p w14:paraId="17D8EE7D" w14:textId="77777777" w:rsidR="006E1036" w:rsidRDefault="006E1036" w:rsidP="005A4B57">
      <w:pPr>
        <w:spacing w:after="0" w:line="240" w:lineRule="auto"/>
      </w:pPr>
      <w:r>
        <w:continuationSeparator/>
      </w:r>
    </w:p>
  </w:footnote>
  <w:footnote w:id="1">
    <w:p w14:paraId="292E6120" w14:textId="60438C2B" w:rsidR="00410594" w:rsidRDefault="00410594">
      <w:pPr>
        <w:pStyle w:val="FootnoteText"/>
      </w:pPr>
      <w:r>
        <w:rPr>
          <w:rStyle w:val="FootnoteReference"/>
        </w:rPr>
        <w:footnoteRef/>
      </w:r>
      <w:r>
        <w:t xml:space="preserve"> </w:t>
      </w:r>
      <w:r w:rsidR="00CD1061">
        <w:t>History of violence against the Dalit caste and the reasons for it are outside of the scope of this paper. Provided here is a link to a brief overview</w:t>
      </w:r>
      <w:r w:rsidR="00464D73">
        <w:t>:</w:t>
      </w:r>
      <w:r w:rsidR="00CD1061">
        <w:t xml:space="preserve"> </w:t>
      </w:r>
      <w:r>
        <w:t>“</w:t>
      </w:r>
      <w:r w:rsidRPr="00410594">
        <w:t xml:space="preserve">Landless Dalits are at the bottom of the age-old social hierarchy, making them vulnerable to discrimination and attacks by upper-caste Hindus, including recent ones by </w:t>
      </w:r>
      <w:r w:rsidR="00891C68" w:rsidRPr="00410594">
        <w:t>hard-line</w:t>
      </w:r>
      <w:r w:rsidRPr="00410594">
        <w:t xml:space="preserve"> </w:t>
      </w:r>
      <w:r w:rsidRPr="00410594">
        <w:rPr>
          <w:i/>
        </w:rPr>
        <w:t>‘gau rakshak’</w:t>
      </w:r>
      <w:r w:rsidRPr="00410594">
        <w:t xml:space="preserve"> vigilantes who have lynched them on suspicion of eating beef or transporting cows, which they regard as sacred.</w:t>
      </w:r>
      <w:r>
        <w:t xml:space="preserve">” </w:t>
      </w:r>
      <w:hyperlink r:id="rId1" w:history="1">
        <w:r w:rsidR="00CD1061" w:rsidRPr="0045354E">
          <w:rPr>
            <w:rStyle w:val="Hyperlink"/>
          </w:rPr>
          <w:t>https://www.reuters.com/article/us-india-women-books/indias-unequal-land-ownership-at-root-of-caste-violence-dalit-writer-idUSKBN1AK1GI</w:t>
        </w:r>
      </w:hyperlink>
      <w:r w:rsidR="00CD1061">
        <w:t xml:space="preserve"> </w:t>
      </w:r>
    </w:p>
  </w:footnote>
  <w:footnote w:id="2">
    <w:p w14:paraId="08F8864C" w14:textId="263FD356" w:rsidR="00AA61AB" w:rsidRPr="00AA61AB" w:rsidRDefault="00AA61AB">
      <w:pPr>
        <w:pStyle w:val="FootnoteText"/>
        <w:rPr>
          <w:lang w:val="en-IN"/>
        </w:rPr>
      </w:pPr>
      <w:r>
        <w:rPr>
          <w:rStyle w:val="FootnoteReference"/>
        </w:rPr>
        <w:footnoteRef/>
      </w:r>
      <w:r>
        <w:t xml:space="preserve"> </w:t>
      </w:r>
      <w:r>
        <w:rPr>
          <w:lang w:val="en-IN"/>
        </w:rPr>
        <w:t>Poli</w:t>
      </w:r>
      <w:r w:rsidR="005A1155">
        <w:rPr>
          <w:lang w:val="en-IN"/>
        </w:rPr>
        <w:t>tical tensions in this instance</w:t>
      </w:r>
      <w:r>
        <w:rPr>
          <w:lang w:val="en-IN"/>
        </w:rPr>
        <w:t xml:space="preserve"> refers to the increasing tensions in India</w:t>
      </w:r>
      <w:r w:rsidR="000A246D">
        <w:rPr>
          <w:lang w:val="en-IN"/>
        </w:rPr>
        <w:t xml:space="preserve"> between the nationalist party in power, BJP (with a history of extremist Hindu beliefs and policies) and other liberal parties, which has further agitated centuries long unrest between Dalit caste members and Brahmin caste members. This phenomenon </w:t>
      </w:r>
      <w:r w:rsidR="004A11FE">
        <w:rPr>
          <w:lang w:val="en-IN"/>
        </w:rPr>
        <w:t xml:space="preserve">is </w:t>
      </w:r>
      <w:r>
        <w:rPr>
          <w:lang w:val="en-IN"/>
        </w:rPr>
        <w:t xml:space="preserve">known as </w:t>
      </w:r>
      <w:r w:rsidR="000A246D">
        <w:rPr>
          <w:lang w:val="en-IN"/>
        </w:rPr>
        <w:t>‘</w:t>
      </w:r>
      <w:r>
        <w:rPr>
          <w:lang w:val="en-IN"/>
        </w:rPr>
        <w:t>casteis</w:t>
      </w:r>
      <w:r w:rsidR="000A246D">
        <w:rPr>
          <w:lang w:val="en-IN"/>
        </w:rPr>
        <w:t>m’.</w:t>
      </w:r>
      <w:r>
        <w:rPr>
          <w:lang w:val="en-IN"/>
        </w:rPr>
        <w:t xml:space="preserve"> </w:t>
      </w:r>
      <w:r w:rsidR="000A246D">
        <w:rPr>
          <w:lang w:val="en-IN"/>
        </w:rPr>
        <w:t>It has</w:t>
      </w:r>
      <w:r>
        <w:rPr>
          <w:lang w:val="en-IN"/>
        </w:rPr>
        <w:t xml:space="preserve"> caused outbreaks of violence and unrest (as recently as New </w:t>
      </w:r>
      <w:r w:rsidR="0004045A">
        <w:rPr>
          <w:lang w:val="en-IN"/>
        </w:rPr>
        <w:t>Year’s</w:t>
      </w:r>
      <w:r>
        <w:rPr>
          <w:lang w:val="en-IN"/>
        </w:rPr>
        <w:t xml:space="preserve"> Eve 2017 in Mumbai and Pune)</w:t>
      </w:r>
      <w:r w:rsidR="000A246D">
        <w:rPr>
          <w:lang w:val="en-IN"/>
        </w:rPr>
        <w:t>. There have also been many instances of</w:t>
      </w:r>
      <w:r>
        <w:rPr>
          <w:lang w:val="en-IN"/>
        </w:rPr>
        <w:t xml:space="preserve"> local politicians looking to extort money from NGO’s and businesses for their own gain</w:t>
      </w:r>
      <w:r w:rsidR="000A246D">
        <w:rPr>
          <w:lang w:val="en-IN"/>
        </w:rPr>
        <w:t>, especially if these NGO’s are seen to be supported by European or American money i.e.; INGOs.</w:t>
      </w:r>
      <w:r>
        <w:rPr>
          <w:lang w:val="en-I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85"/>
    <w:rsid w:val="00003795"/>
    <w:rsid w:val="000058A6"/>
    <w:rsid w:val="00015B16"/>
    <w:rsid w:val="0004045A"/>
    <w:rsid w:val="00083DE3"/>
    <w:rsid w:val="0009139C"/>
    <w:rsid w:val="000A210A"/>
    <w:rsid w:val="000A246D"/>
    <w:rsid w:val="000A2E45"/>
    <w:rsid w:val="000E06D2"/>
    <w:rsid w:val="000E3885"/>
    <w:rsid w:val="000F4CF0"/>
    <w:rsid w:val="00130BC4"/>
    <w:rsid w:val="00133289"/>
    <w:rsid w:val="00157958"/>
    <w:rsid w:val="0016376C"/>
    <w:rsid w:val="00182A96"/>
    <w:rsid w:val="0018311B"/>
    <w:rsid w:val="00197EDE"/>
    <w:rsid w:val="001A469E"/>
    <w:rsid w:val="001C3028"/>
    <w:rsid w:val="001D6F41"/>
    <w:rsid w:val="00214AFB"/>
    <w:rsid w:val="00215964"/>
    <w:rsid w:val="002332DF"/>
    <w:rsid w:val="00241705"/>
    <w:rsid w:val="00242ECF"/>
    <w:rsid w:val="00250A38"/>
    <w:rsid w:val="00280F2D"/>
    <w:rsid w:val="00281EB1"/>
    <w:rsid w:val="002A38CC"/>
    <w:rsid w:val="002B306B"/>
    <w:rsid w:val="002D76D4"/>
    <w:rsid w:val="002E3991"/>
    <w:rsid w:val="0030010D"/>
    <w:rsid w:val="003219EA"/>
    <w:rsid w:val="00321F90"/>
    <w:rsid w:val="0034383E"/>
    <w:rsid w:val="00347EC6"/>
    <w:rsid w:val="00370B76"/>
    <w:rsid w:val="003767D6"/>
    <w:rsid w:val="003A419E"/>
    <w:rsid w:val="003A4547"/>
    <w:rsid w:val="003B0981"/>
    <w:rsid w:val="003B3F66"/>
    <w:rsid w:val="003C183F"/>
    <w:rsid w:val="003C424A"/>
    <w:rsid w:val="003E108A"/>
    <w:rsid w:val="003E6520"/>
    <w:rsid w:val="00410594"/>
    <w:rsid w:val="00460506"/>
    <w:rsid w:val="00464D73"/>
    <w:rsid w:val="004A11FE"/>
    <w:rsid w:val="004A2458"/>
    <w:rsid w:val="004B14C8"/>
    <w:rsid w:val="004C6519"/>
    <w:rsid w:val="004E1818"/>
    <w:rsid w:val="004E69EE"/>
    <w:rsid w:val="00511008"/>
    <w:rsid w:val="00516AFE"/>
    <w:rsid w:val="0052648E"/>
    <w:rsid w:val="0053100F"/>
    <w:rsid w:val="0054146B"/>
    <w:rsid w:val="00550FF4"/>
    <w:rsid w:val="00554F32"/>
    <w:rsid w:val="00565F32"/>
    <w:rsid w:val="00580416"/>
    <w:rsid w:val="00584D08"/>
    <w:rsid w:val="005A1155"/>
    <w:rsid w:val="005A4B57"/>
    <w:rsid w:val="005B5085"/>
    <w:rsid w:val="005C2BCB"/>
    <w:rsid w:val="005F03C7"/>
    <w:rsid w:val="005F3395"/>
    <w:rsid w:val="005F4AAE"/>
    <w:rsid w:val="00634150"/>
    <w:rsid w:val="00657A90"/>
    <w:rsid w:val="006861A2"/>
    <w:rsid w:val="006A024E"/>
    <w:rsid w:val="006B124B"/>
    <w:rsid w:val="006C07CB"/>
    <w:rsid w:val="006C61BA"/>
    <w:rsid w:val="006D2E7F"/>
    <w:rsid w:val="006E1036"/>
    <w:rsid w:val="006E687A"/>
    <w:rsid w:val="006F301F"/>
    <w:rsid w:val="00765B36"/>
    <w:rsid w:val="00782FB4"/>
    <w:rsid w:val="00793FCD"/>
    <w:rsid w:val="007B669E"/>
    <w:rsid w:val="007C24D8"/>
    <w:rsid w:val="007C3501"/>
    <w:rsid w:val="008105D1"/>
    <w:rsid w:val="00824A1D"/>
    <w:rsid w:val="008312EB"/>
    <w:rsid w:val="00845DBD"/>
    <w:rsid w:val="00854444"/>
    <w:rsid w:val="00882925"/>
    <w:rsid w:val="00886F03"/>
    <w:rsid w:val="00891C68"/>
    <w:rsid w:val="008B3E71"/>
    <w:rsid w:val="008E2E98"/>
    <w:rsid w:val="00905BA1"/>
    <w:rsid w:val="00917DD7"/>
    <w:rsid w:val="009442AB"/>
    <w:rsid w:val="00966BF7"/>
    <w:rsid w:val="009876A1"/>
    <w:rsid w:val="00996BD1"/>
    <w:rsid w:val="009C4D6F"/>
    <w:rsid w:val="009C6326"/>
    <w:rsid w:val="009D3D11"/>
    <w:rsid w:val="009F1434"/>
    <w:rsid w:val="00A203DA"/>
    <w:rsid w:val="00A220F9"/>
    <w:rsid w:val="00A344D3"/>
    <w:rsid w:val="00A35402"/>
    <w:rsid w:val="00A65955"/>
    <w:rsid w:val="00A942E9"/>
    <w:rsid w:val="00A96AE6"/>
    <w:rsid w:val="00AA442B"/>
    <w:rsid w:val="00AA61AB"/>
    <w:rsid w:val="00AC1F51"/>
    <w:rsid w:val="00AD0817"/>
    <w:rsid w:val="00AD3A2D"/>
    <w:rsid w:val="00AE52FA"/>
    <w:rsid w:val="00AE7196"/>
    <w:rsid w:val="00B17CC1"/>
    <w:rsid w:val="00B31BCC"/>
    <w:rsid w:val="00B4366B"/>
    <w:rsid w:val="00B562B6"/>
    <w:rsid w:val="00B67899"/>
    <w:rsid w:val="00B77629"/>
    <w:rsid w:val="00B94A6D"/>
    <w:rsid w:val="00BA1941"/>
    <w:rsid w:val="00BA587C"/>
    <w:rsid w:val="00BB4885"/>
    <w:rsid w:val="00BB64DB"/>
    <w:rsid w:val="00BC6E44"/>
    <w:rsid w:val="00BD1F82"/>
    <w:rsid w:val="00BE2F27"/>
    <w:rsid w:val="00C022A7"/>
    <w:rsid w:val="00C07E07"/>
    <w:rsid w:val="00C16E5B"/>
    <w:rsid w:val="00C36FE2"/>
    <w:rsid w:val="00C4690E"/>
    <w:rsid w:val="00C549E6"/>
    <w:rsid w:val="00C705A7"/>
    <w:rsid w:val="00C75329"/>
    <w:rsid w:val="00C8696C"/>
    <w:rsid w:val="00CA184A"/>
    <w:rsid w:val="00CC2E2D"/>
    <w:rsid w:val="00CD1061"/>
    <w:rsid w:val="00CE047A"/>
    <w:rsid w:val="00D0643A"/>
    <w:rsid w:val="00D2006E"/>
    <w:rsid w:val="00D32175"/>
    <w:rsid w:val="00D41359"/>
    <w:rsid w:val="00DE0561"/>
    <w:rsid w:val="00E44148"/>
    <w:rsid w:val="00E45613"/>
    <w:rsid w:val="00E53734"/>
    <w:rsid w:val="00E543A3"/>
    <w:rsid w:val="00E6742A"/>
    <w:rsid w:val="00EB0D65"/>
    <w:rsid w:val="00EC205D"/>
    <w:rsid w:val="00EC3D7F"/>
    <w:rsid w:val="00EE3C52"/>
    <w:rsid w:val="00EF2C9C"/>
    <w:rsid w:val="00F167CB"/>
    <w:rsid w:val="00F306C3"/>
    <w:rsid w:val="00F436E2"/>
    <w:rsid w:val="00F77ABF"/>
    <w:rsid w:val="00F8382C"/>
    <w:rsid w:val="00FA30B0"/>
    <w:rsid w:val="00FD19EF"/>
    <w:rsid w:val="00FE4C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6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85"/>
  </w:style>
  <w:style w:type="paragraph" w:styleId="Heading1">
    <w:name w:val="heading 1"/>
    <w:basedOn w:val="Normal"/>
    <w:next w:val="Normal"/>
    <w:link w:val="Heading1Char"/>
    <w:uiPriority w:val="9"/>
    <w:qFormat/>
    <w:rsid w:val="00550FF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0E3885"/>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388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E388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5A4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57"/>
  </w:style>
  <w:style w:type="paragraph" w:styleId="Footer">
    <w:name w:val="footer"/>
    <w:basedOn w:val="Normal"/>
    <w:link w:val="FooterChar"/>
    <w:uiPriority w:val="99"/>
    <w:unhideWhenUsed/>
    <w:rsid w:val="005A4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B57"/>
  </w:style>
  <w:style w:type="character" w:customStyle="1" w:styleId="Heading1Char">
    <w:name w:val="Heading 1 Char"/>
    <w:basedOn w:val="DefaultParagraphFont"/>
    <w:link w:val="Heading1"/>
    <w:uiPriority w:val="9"/>
    <w:rsid w:val="00550FF4"/>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50FF4"/>
  </w:style>
  <w:style w:type="character" w:styleId="CommentReference">
    <w:name w:val="annotation reference"/>
    <w:basedOn w:val="DefaultParagraphFont"/>
    <w:uiPriority w:val="99"/>
    <w:semiHidden/>
    <w:unhideWhenUsed/>
    <w:rsid w:val="0053100F"/>
    <w:rPr>
      <w:sz w:val="16"/>
      <w:szCs w:val="16"/>
    </w:rPr>
  </w:style>
  <w:style w:type="paragraph" w:styleId="CommentText">
    <w:name w:val="annotation text"/>
    <w:basedOn w:val="Normal"/>
    <w:link w:val="CommentTextChar"/>
    <w:uiPriority w:val="99"/>
    <w:semiHidden/>
    <w:unhideWhenUsed/>
    <w:rsid w:val="0053100F"/>
    <w:pPr>
      <w:spacing w:line="240" w:lineRule="auto"/>
    </w:pPr>
    <w:rPr>
      <w:sz w:val="20"/>
      <w:szCs w:val="20"/>
    </w:rPr>
  </w:style>
  <w:style w:type="character" w:customStyle="1" w:styleId="CommentTextChar">
    <w:name w:val="Comment Text Char"/>
    <w:basedOn w:val="DefaultParagraphFont"/>
    <w:link w:val="CommentText"/>
    <w:uiPriority w:val="99"/>
    <w:semiHidden/>
    <w:rsid w:val="0053100F"/>
    <w:rPr>
      <w:sz w:val="20"/>
      <w:szCs w:val="20"/>
    </w:rPr>
  </w:style>
  <w:style w:type="paragraph" w:styleId="CommentSubject">
    <w:name w:val="annotation subject"/>
    <w:basedOn w:val="CommentText"/>
    <w:next w:val="CommentText"/>
    <w:link w:val="CommentSubjectChar"/>
    <w:uiPriority w:val="99"/>
    <w:semiHidden/>
    <w:unhideWhenUsed/>
    <w:rsid w:val="0053100F"/>
    <w:rPr>
      <w:b/>
      <w:bCs/>
    </w:rPr>
  </w:style>
  <w:style w:type="character" w:customStyle="1" w:styleId="CommentSubjectChar">
    <w:name w:val="Comment Subject Char"/>
    <w:basedOn w:val="CommentTextChar"/>
    <w:link w:val="CommentSubject"/>
    <w:uiPriority w:val="99"/>
    <w:semiHidden/>
    <w:rsid w:val="0053100F"/>
    <w:rPr>
      <w:b/>
      <w:bCs/>
      <w:sz w:val="20"/>
      <w:szCs w:val="20"/>
    </w:rPr>
  </w:style>
  <w:style w:type="paragraph" w:styleId="BalloonText">
    <w:name w:val="Balloon Text"/>
    <w:basedOn w:val="Normal"/>
    <w:link w:val="BalloonTextChar"/>
    <w:uiPriority w:val="99"/>
    <w:semiHidden/>
    <w:unhideWhenUsed/>
    <w:rsid w:val="00531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00F"/>
    <w:rPr>
      <w:rFonts w:ascii="Segoe UI" w:hAnsi="Segoe UI" w:cs="Segoe UI"/>
      <w:sz w:val="18"/>
      <w:szCs w:val="18"/>
    </w:rPr>
  </w:style>
  <w:style w:type="paragraph" w:styleId="FootnoteText">
    <w:name w:val="footnote text"/>
    <w:basedOn w:val="Normal"/>
    <w:link w:val="FootnoteTextChar"/>
    <w:uiPriority w:val="99"/>
    <w:semiHidden/>
    <w:unhideWhenUsed/>
    <w:rsid w:val="00AA6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1AB"/>
    <w:rPr>
      <w:sz w:val="20"/>
      <w:szCs w:val="20"/>
    </w:rPr>
  </w:style>
  <w:style w:type="character" w:styleId="FootnoteReference">
    <w:name w:val="footnote reference"/>
    <w:basedOn w:val="DefaultParagraphFont"/>
    <w:uiPriority w:val="99"/>
    <w:semiHidden/>
    <w:unhideWhenUsed/>
    <w:rsid w:val="00AA61AB"/>
    <w:rPr>
      <w:vertAlign w:val="superscript"/>
    </w:rPr>
  </w:style>
  <w:style w:type="character" w:styleId="Hyperlink">
    <w:name w:val="Hyperlink"/>
    <w:basedOn w:val="DefaultParagraphFont"/>
    <w:uiPriority w:val="99"/>
    <w:unhideWhenUsed/>
    <w:rsid w:val="00410594"/>
    <w:rPr>
      <w:color w:val="0563C1" w:themeColor="hyperlink"/>
      <w:u w:val="single"/>
    </w:rPr>
  </w:style>
  <w:style w:type="character" w:styleId="UnresolvedMention">
    <w:name w:val="Unresolved Mention"/>
    <w:basedOn w:val="DefaultParagraphFont"/>
    <w:uiPriority w:val="99"/>
    <w:semiHidden/>
    <w:unhideWhenUsed/>
    <w:rsid w:val="004105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122329">
      <w:bodyDiv w:val="1"/>
      <w:marLeft w:val="0"/>
      <w:marRight w:val="0"/>
      <w:marTop w:val="0"/>
      <w:marBottom w:val="0"/>
      <w:divBdr>
        <w:top w:val="none" w:sz="0" w:space="0" w:color="auto"/>
        <w:left w:val="none" w:sz="0" w:space="0" w:color="auto"/>
        <w:bottom w:val="none" w:sz="0" w:space="0" w:color="auto"/>
        <w:right w:val="none" w:sz="0" w:space="0" w:color="auto"/>
      </w:divBdr>
    </w:div>
    <w:div w:id="13938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euters.com/article/us-india-women-books/indias-unequal-land-ownership-at-root-of-caste-violence-dalit-writer-idUSKBN1AK1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BB0D7E2E9DA4E9CC5E0E9D0DBA419" ma:contentTypeVersion="13" ma:contentTypeDescription="Create a new document." ma:contentTypeScope="" ma:versionID="a7cffeaa72d83589df9e8807b37c967b">
  <xsd:schema xmlns:xsd="http://www.w3.org/2001/XMLSchema" xmlns:xs="http://www.w3.org/2001/XMLSchema" xmlns:p="http://schemas.microsoft.com/office/2006/metadata/properties" xmlns:ns1="http://schemas.microsoft.com/sharepoint/v3" xmlns:ns2="e501a6c2-1d0a-4f88-a215-ec20fc91238d" xmlns:ns3="1dac0f6e-f7af-4801-a3cb-f7117304dbe8" targetNamespace="http://schemas.microsoft.com/office/2006/metadata/properties" ma:root="true" ma:fieldsID="194b018642c0580069659b1b1140cc8b" ns1:_="" ns2:_="" ns3:_="">
    <xsd:import namespace="http://schemas.microsoft.com/sharepoint/v3"/>
    <xsd:import namespace="e501a6c2-1d0a-4f88-a215-ec20fc91238d"/>
    <xsd:import namespace="1dac0f6e-f7af-4801-a3cb-f7117304dbe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1a6c2-1d0a-4f88-a215-ec20fc912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ac0f6e-f7af-4801-a3cb-f7117304dbe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Ami13</b:Tag>
    <b:SourceType>Book</b:SourceType>
    <b:Guid>{9767E9C5-DABF-417B-835B-94D9BFCF62E7}</b:Guid>
    <b:Author>
      <b:Author>
        <b:NameList>
          <b:Person>
            <b:Last>Gupta</b:Last>
            <b:First>Amita</b:First>
          </b:Person>
        </b:NameList>
      </b:Author>
    </b:Author>
    <b:Title>Early Childhood Education, Postcolonial Theory, and Teaching Practices and Policies in India, Balancing Vygotsky and The Veda</b:Title>
    <b:Year>2013</b:Year>
    <b:City>New York</b:City>
    <b:Publisher>Palgrave Macmillan</b:Publisher>
    <b:Edition>Revised</b:Edition>
    <b:RefOrder>1</b:RefOrder>
  </b:Source>
  <b:Source>
    <b:Tag>Bri11</b:Tag>
    <b:SourceType>InternetSite</b:SourceType>
    <b:Guid>{60B80F0D-CEF3-4A09-9AA5-7E9D7E2ED941}</b:Guid>
    <b:Author>
      <b:Author>
        <b:Corporate>British Educational Research Association</b:Corporate>
      </b:Author>
    </b:Author>
    <b:Title>www.bera.ac.uk</b:Title>
    <b:Year>2011</b:Year>
    <b:YearAccessed>2017</b:YearAccessed>
    <b:MonthAccessed>December</b:MonthAccessed>
    <b:DayAccessed>10th</b:DayAccessed>
    <b:URL>https://www.bera.ac.uk/researchers-resources/publications/bera-ethical-guidelines-for-educational-research-2011</b:URL>
    <b:RefOrder>2</b:RefOrder>
  </b:Source>
  <b:Source>
    <b:Tag>Nod13</b:Tag>
    <b:SourceType>BookSection</b:SourceType>
    <b:Guid>{9A2E3065-4507-48A5-AA33-581209B52BA2}</b:Guid>
    <b:Title>Moral Education</b:Title>
    <b:Year>2013</b:Year>
    <b:Author>
      <b:Author>
        <b:NameList>
          <b:Person>
            <b:Last>Noddings</b:Last>
            <b:First>Nell</b:First>
          </b:Person>
        </b:NameList>
      </b:Author>
    </b:Author>
    <b:Pages>171-201</b:Pages>
    <b:BookTitle>Caring : A Relational Approach to Ethics and Moral Education (2)</b:BookTitle>
    <b:City>Berkeley</b:City>
    <b:Publisher>University of California Press</b:Publisher>
    <b:RefOrder>3</b:RefOrder>
  </b:Source>
  <b:Source>
    <b:Tag>Har12</b:Tag>
    <b:SourceType>JournalArticle</b:SourceType>
    <b:Guid>{EB27C444-D90D-4083-BC4D-DBCAA00EC910}</b:Guid>
    <b:Title>‘Living’ethical dilemmas for researchers when researching with children</b:Title>
    <b:Year>2012</b:Year>
    <b:Pages>234-243</b:Pages>
    <b:Author>
      <b:Author>
        <b:NameList>
          <b:Person>
            <b:Last>Mortari</b:Last>
            <b:First>L</b:First>
          </b:Person>
          <b:Person>
            <b:Last>Harcourt</b:Last>
            <b:First>D</b:First>
          </b:Person>
        </b:NameList>
      </b:Author>
    </b:Author>
    <b:JournalName>International Journal of Early Years Education</b:JournalName>
    <b:Volume>20</b:Volume>
    <b:Issue>3</b:Issue>
    <b:DOI> 10.1080/09669760.2012.715409</b:DOI>
    <b:RefOrder>4</b:RefOrder>
  </b:Source>
  <b:Source>
    <b:Tag>Skå09</b:Tag>
    <b:SourceType>JournalArticle</b:SourceType>
    <b:Guid>{468408DC-F491-4BA5-95A7-441A87184A56}</b:Guid>
    <b:Author>
      <b:Author>
        <b:NameList>
          <b:Person>
            <b:Last>Skånfors</b:Last>
            <b:First>Lovisa</b:First>
          </b:Person>
        </b:NameList>
      </b:Author>
    </b:Author>
    <b:Title>Ethics in child research: Children's agency and researchers' 'ethical radar'</b:Title>
    <b:JournalName>Childhoods Today</b:JournalName>
    <b:Year>2009</b:Year>
    <b:Pages>1-22</b:Pages>
    <b:Volume>3</b:Volume>
    <b:Issue>1</b:Issue>
    <b:RefOrder>5</b:RefOrder>
  </b:Source>
  <b:Source>
    <b:Tag>Uni89</b:Tag>
    <b:SourceType>Misc</b:SourceType>
    <b:Guid>{5996CBE9-CF45-4D45-8539-DCCD74915CC1}</b:Guid>
    <b:Title>Convention on the Rights of the Child</b:Title>
    <b:Year>1989</b:Year>
    <b:Pages>3</b:Pages>
    <b:Volume>1577</b:Volume>
    <b:Author>
      <b:Author>
        <b:Corporate>United Nations General Assembly</b:Corporate>
      </b:Author>
    </b:Author>
    <b:Publisher>United Nations Treaties Series</b:Publisher>
    <b:Month>November</b:Month>
    <b:Day>20th</b:Day>
    <b:YearAccessed>2017</b:YearAccessed>
    <b:MonthAccessed>December</b:MonthAccessed>
    <b:DayAccessed>10th</b:DayAccessed>
    <b:URL>http://www.refworld.org/docid/3ae6b38f0.html</b:URL>
    <b:RefOrder>6</b:RefOrder>
  </b:Source>
  <b:Source>
    <b:Tag>Cla11</b:Tag>
    <b:SourceType>Book</b:SourceType>
    <b:Guid>{E926438A-EBB2-44A2-9DBB-005AB91B05C8}</b:Guid>
    <b:Title>Listening to young children: the mosaic approach</b:Title>
    <b:Year>2011</b:Year>
    <b:City>London</b:City>
    <b:Publisher>Jessica Kingsley Publishers</b:Publisher>
    <b:Author>
      <b:Author>
        <b:NameList>
          <b:Person>
            <b:Last>Clark</b:Last>
            <b:First>A.</b:First>
            <b:Middle>&amp; Moss, P.</b:Middle>
          </b:Person>
        </b:NameList>
      </b:Author>
    </b:Author>
    <b:Edition>Second</b:Edition>
    <b:RefOrder>7</b:RefOrder>
  </b:Source>
  <b:Source>
    <b:Tag>Pit12</b:Tag>
    <b:SourceType>BookSection</b:SourceType>
    <b:Guid>{7FCC4AE6-2998-4FD4-98AE-48F8C0E36781}</b:Guid>
    <b:Author>
      <b:Author>
        <b:NameList>
          <b:Person>
            <b:Last>Pitman</b:Last>
            <b:First>Allan</b:First>
          </b:Person>
        </b:NameList>
      </b:Author>
      <b:Editor>
        <b:NameList>
          <b:Person>
            <b:Last>Pitman</b:Last>
            <b:First>A</b:First>
          </b:Person>
          <b:Person>
            <b:Last>Kinsella</b:Last>
            <b:First>E</b:First>
          </b:Person>
        </b:NameList>
      </b:Editor>
    </b:Author>
    <b:Title>Professionalism and Professionalisation: Hostile Ground for Growing Phronesis</b:Title>
    <b:Year>2012</b:Year>
    <b:City>Rotterdam</b:City>
    <b:Publisher> Sense Publishers</b:Publisher>
    <b:BookTitle> Phronesis as Professional Knowledge : Practical Wisdom in the Professions</b:BookTitle>
    <b:Pages>131-146</b:Pages>
    <b:RefOrder>8</b:RefOrder>
  </b:Source>
</b:Sources>
</file>

<file path=customXml/itemProps1.xml><?xml version="1.0" encoding="utf-8"?>
<ds:datastoreItem xmlns:ds="http://schemas.openxmlformats.org/officeDocument/2006/customXml" ds:itemID="{A1A3549B-B8A6-4747-BBB3-23ADA17EDB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291A46-1FBE-4134-A944-51C45A28D8A8}">
  <ds:schemaRefs>
    <ds:schemaRef ds:uri="http://schemas.microsoft.com/sharepoint/v3/contenttype/forms"/>
  </ds:schemaRefs>
</ds:datastoreItem>
</file>

<file path=customXml/itemProps3.xml><?xml version="1.0" encoding="utf-8"?>
<ds:datastoreItem xmlns:ds="http://schemas.openxmlformats.org/officeDocument/2006/customXml" ds:itemID="{C2ABFDBC-A8F3-4F7A-88B4-8BE9DB8C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01a6c2-1d0a-4f88-a215-ec20fc91238d"/>
    <ds:schemaRef ds:uri="1dac0f6e-f7af-4801-a3cb-f7117304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70F41-A0A9-440B-BC4B-EB15E9CE2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2018-06-10T12:35:00Z</dcterms:created>
  <dcterms:modified xsi:type="dcterms:W3CDTF">2018-06-13T10:04:00Z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0x01010064ABB0D7E2E9DA4E9CC5E0E9D0DBA419</vt:lpwstr>
  </property>
</Properties>
</file>